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F0ACB" w14:textId="40B161BF" w:rsidR="006D00FA" w:rsidRPr="00E034E9" w:rsidRDefault="00830656" w:rsidP="00E034E9">
      <w:pPr>
        <w:spacing w:before="120" w:after="120"/>
        <w:jc w:val="center"/>
        <w:rPr>
          <w:color w:val="004071"/>
          <w:sz w:val="48"/>
          <w:szCs w:val="48"/>
        </w:rPr>
      </w:pPr>
      <w:r w:rsidRPr="00E034E9">
        <w:rPr>
          <w:color w:val="004071"/>
          <w:sz w:val="48"/>
          <w:szCs w:val="48"/>
        </w:rPr>
        <w:t>Equality and Diversity Policy</w:t>
      </w:r>
    </w:p>
    <w:p w14:paraId="23D6DE41" w14:textId="77777777" w:rsidR="00AA5606" w:rsidRPr="00E034E9" w:rsidRDefault="00AA5606" w:rsidP="00E034E9">
      <w:pPr>
        <w:widowControl w:val="0"/>
        <w:autoSpaceDE w:val="0"/>
        <w:autoSpaceDN w:val="0"/>
        <w:adjustRightInd w:val="0"/>
        <w:spacing w:before="120" w:after="120"/>
        <w:jc w:val="both"/>
      </w:pPr>
    </w:p>
    <w:p w14:paraId="29057AEE" w14:textId="236211C1" w:rsidR="00830656" w:rsidRPr="00E034E9" w:rsidRDefault="00830656" w:rsidP="00E034E9">
      <w:pPr>
        <w:spacing w:before="120" w:after="120"/>
        <w:jc w:val="both"/>
        <w:rPr>
          <w:b/>
          <w:smallCaps/>
          <w:color w:val="004071"/>
          <w:sz w:val="28"/>
          <w:szCs w:val="28"/>
          <w:lang w:eastAsia="en-GB"/>
        </w:rPr>
      </w:pPr>
      <w:r w:rsidRPr="00E034E9">
        <w:rPr>
          <w:b/>
          <w:smallCaps/>
          <w:color w:val="004071"/>
          <w:sz w:val="28"/>
          <w:szCs w:val="28"/>
          <w:lang w:eastAsia="en-GB"/>
        </w:rPr>
        <w:t>Purpose</w:t>
      </w:r>
    </w:p>
    <w:p w14:paraId="5249BE9F" w14:textId="77777777" w:rsidR="00830656" w:rsidRPr="00E034E9" w:rsidRDefault="00830656" w:rsidP="00E034E9">
      <w:pPr>
        <w:spacing w:before="120" w:after="120"/>
        <w:jc w:val="both"/>
        <w:rPr>
          <w:lang w:eastAsia="en-GB"/>
        </w:rPr>
      </w:pPr>
      <w:r w:rsidRPr="00E034E9">
        <w:rPr>
          <w:lang w:eastAsia="en-GB"/>
        </w:rPr>
        <w:t>The International Assessment Centre (IAC) will ensure all decisions on the employment and development of employees / associates (and prospective employees / associates) are objective, based on merit and support business goals. This can be achieved through the continuous review of workplace policies, practices, procedures and behaviours to check that these are enabling employees / associates to give their best.</w:t>
      </w:r>
    </w:p>
    <w:p w14:paraId="7222C282" w14:textId="77777777" w:rsidR="00830656" w:rsidRPr="00E034E9" w:rsidRDefault="00830656" w:rsidP="00E034E9">
      <w:pPr>
        <w:spacing w:before="120" w:after="120"/>
        <w:jc w:val="both"/>
        <w:rPr>
          <w:lang w:eastAsia="en-GB"/>
        </w:rPr>
      </w:pPr>
    </w:p>
    <w:p w14:paraId="4C4E931B" w14:textId="044FCDA4" w:rsidR="00830656" w:rsidRPr="00E034E9" w:rsidRDefault="00830656" w:rsidP="00E034E9">
      <w:pPr>
        <w:spacing w:before="120" w:after="120"/>
        <w:jc w:val="both"/>
        <w:rPr>
          <w:b/>
          <w:smallCaps/>
          <w:color w:val="004071"/>
          <w:sz w:val="28"/>
          <w:szCs w:val="28"/>
          <w:u w:val="single"/>
          <w:lang w:eastAsia="en-GB"/>
        </w:rPr>
      </w:pPr>
      <w:r w:rsidRPr="00E034E9">
        <w:rPr>
          <w:b/>
          <w:smallCaps/>
          <w:color w:val="004071"/>
          <w:sz w:val="28"/>
          <w:szCs w:val="28"/>
          <w:lang w:eastAsia="en-GB"/>
        </w:rPr>
        <w:t>Principle</w:t>
      </w:r>
    </w:p>
    <w:p w14:paraId="0A79B9C0" w14:textId="0490CCB8" w:rsidR="00830656" w:rsidRPr="00E034E9" w:rsidRDefault="00830656" w:rsidP="00E034E9">
      <w:pPr>
        <w:spacing w:before="120" w:after="120"/>
        <w:jc w:val="both"/>
        <w:rPr>
          <w:lang w:eastAsia="en-GB"/>
        </w:rPr>
      </w:pPr>
      <w:r w:rsidRPr="00E034E9">
        <w:rPr>
          <w:lang w:eastAsia="en-GB"/>
        </w:rPr>
        <w:t>The IAC is committed to maintaining good practice in relation to equal opportunities and will review its policies in this area on a regular basis in line with legislative changes and best practice benchmarking.</w:t>
      </w:r>
    </w:p>
    <w:p w14:paraId="3DEAC843" w14:textId="420A74E7" w:rsidR="00830656" w:rsidRPr="00E034E9" w:rsidRDefault="00830656" w:rsidP="00E034E9">
      <w:pPr>
        <w:spacing w:before="120" w:after="120"/>
        <w:jc w:val="both"/>
        <w:rPr>
          <w:lang w:eastAsia="en-GB"/>
        </w:rPr>
      </w:pPr>
      <w:r w:rsidRPr="00E034E9">
        <w:rPr>
          <w:lang w:eastAsia="en-GB"/>
        </w:rPr>
        <w:t>It is therefore, the IAC’s policy that no individual receives less favourable treatment than another, directly or indirectly, on the grounds of age, sex, marital status, race, religion, colour ethnic or national origin, nationality, citizenship, disability, sexual orientation, gender reassignment membership of, or refusal to become a member a trade union.</w:t>
      </w:r>
    </w:p>
    <w:p w14:paraId="731187AE" w14:textId="77777777" w:rsidR="00830656" w:rsidRPr="00E034E9" w:rsidRDefault="00830656" w:rsidP="00E034E9">
      <w:pPr>
        <w:pStyle w:val="ListParagraph"/>
        <w:numPr>
          <w:ilvl w:val="0"/>
          <w:numId w:val="29"/>
        </w:numPr>
        <w:spacing w:before="120" w:after="120"/>
        <w:jc w:val="both"/>
        <w:rPr>
          <w:lang w:eastAsia="en-GB"/>
        </w:rPr>
      </w:pPr>
      <w:r w:rsidRPr="00E034E9">
        <w:rPr>
          <w:lang w:eastAsia="en-GB"/>
        </w:rPr>
        <w:t>Employees / Associates are required to demonstrate their commitment to the policy by reading, understanding and abiding by the policy.</w:t>
      </w:r>
    </w:p>
    <w:p w14:paraId="46EAC1B3" w14:textId="77777777" w:rsidR="00830656" w:rsidRPr="00E034E9" w:rsidRDefault="00830656" w:rsidP="00E034E9">
      <w:pPr>
        <w:pStyle w:val="ListParagraph"/>
        <w:numPr>
          <w:ilvl w:val="0"/>
          <w:numId w:val="29"/>
        </w:numPr>
        <w:spacing w:before="120" w:after="120"/>
        <w:jc w:val="both"/>
        <w:rPr>
          <w:lang w:eastAsia="en-GB"/>
        </w:rPr>
      </w:pPr>
      <w:r w:rsidRPr="00E034E9">
        <w:rPr>
          <w:lang w:eastAsia="en-GB"/>
        </w:rPr>
        <w:t>Equal opportunity in the working environment will impact on a number of areas and individuals, therefore the IAC will aim to ensure that: -</w:t>
      </w:r>
    </w:p>
    <w:p w14:paraId="3715DC14" w14:textId="77777777" w:rsidR="00830656" w:rsidRPr="00E034E9" w:rsidRDefault="00830656" w:rsidP="00E034E9">
      <w:pPr>
        <w:numPr>
          <w:ilvl w:val="0"/>
          <w:numId w:val="13"/>
        </w:numPr>
        <w:tabs>
          <w:tab w:val="num" w:pos="680"/>
        </w:tabs>
        <w:spacing w:before="120" w:after="120"/>
        <w:ind w:left="1040"/>
        <w:jc w:val="both"/>
        <w:rPr>
          <w:lang w:eastAsia="en-GB"/>
        </w:rPr>
      </w:pPr>
      <w:r w:rsidRPr="00E034E9">
        <w:rPr>
          <w:lang w:eastAsia="en-GB"/>
        </w:rPr>
        <w:t>Recruitment practices and selection procedures are free from discrimination or bias</w:t>
      </w:r>
    </w:p>
    <w:p w14:paraId="5CA8B2E5" w14:textId="77777777" w:rsidR="00830656" w:rsidRPr="00E034E9" w:rsidRDefault="00830656" w:rsidP="00E034E9">
      <w:pPr>
        <w:numPr>
          <w:ilvl w:val="0"/>
          <w:numId w:val="14"/>
        </w:numPr>
        <w:tabs>
          <w:tab w:val="num" w:pos="680"/>
        </w:tabs>
        <w:spacing w:before="120" w:after="120"/>
        <w:ind w:left="1040"/>
        <w:jc w:val="both"/>
        <w:rPr>
          <w:lang w:eastAsia="en-GB"/>
        </w:rPr>
      </w:pPr>
      <w:r w:rsidRPr="00E034E9">
        <w:rPr>
          <w:lang w:eastAsia="en-GB"/>
        </w:rPr>
        <w:t>Working practices, career progression and promotion opportunities are free from discrimination or bias</w:t>
      </w:r>
    </w:p>
    <w:p w14:paraId="4EE3EDE8" w14:textId="77777777" w:rsidR="00830656" w:rsidRPr="00E034E9" w:rsidRDefault="00830656" w:rsidP="00E034E9">
      <w:pPr>
        <w:numPr>
          <w:ilvl w:val="0"/>
          <w:numId w:val="15"/>
        </w:numPr>
        <w:tabs>
          <w:tab w:val="num" w:pos="680"/>
        </w:tabs>
        <w:spacing w:before="120" w:after="120"/>
        <w:ind w:left="1040"/>
        <w:jc w:val="both"/>
        <w:rPr>
          <w:lang w:eastAsia="en-GB"/>
        </w:rPr>
      </w:pPr>
      <w:r w:rsidRPr="00E034E9">
        <w:rPr>
          <w:lang w:eastAsia="en-GB"/>
        </w:rPr>
        <w:t>Employees / Associates are aware of their own personal responsibility in ensuring the support of the policy in practice</w:t>
      </w:r>
    </w:p>
    <w:p w14:paraId="192ABAA5" w14:textId="77777777" w:rsidR="00830656" w:rsidRPr="00E034E9" w:rsidRDefault="00830656" w:rsidP="00E034E9">
      <w:pPr>
        <w:spacing w:before="120" w:after="120"/>
        <w:jc w:val="both"/>
        <w:rPr>
          <w:lang w:eastAsia="en-GB"/>
        </w:rPr>
      </w:pPr>
    </w:p>
    <w:p w14:paraId="17470BDC" w14:textId="77777777" w:rsidR="00830656" w:rsidRPr="00E034E9" w:rsidRDefault="00830656" w:rsidP="00E034E9">
      <w:pPr>
        <w:numPr>
          <w:ilvl w:val="0"/>
          <w:numId w:val="16"/>
        </w:numPr>
        <w:spacing w:before="120" w:after="120"/>
        <w:jc w:val="both"/>
        <w:rPr>
          <w:lang w:eastAsia="en-GB"/>
        </w:rPr>
      </w:pPr>
      <w:r w:rsidRPr="00E034E9">
        <w:rPr>
          <w:lang w:eastAsia="en-GB"/>
        </w:rPr>
        <w:t>The IAC is committed to complying with all relevant legislation concerning Equal Opportunity including the: -</w:t>
      </w:r>
    </w:p>
    <w:p w14:paraId="1B9EA814" w14:textId="77777777" w:rsidR="00830656" w:rsidRPr="00E034E9" w:rsidRDefault="00830656" w:rsidP="00E034E9">
      <w:pPr>
        <w:numPr>
          <w:ilvl w:val="0"/>
          <w:numId w:val="17"/>
        </w:numPr>
        <w:spacing w:before="120" w:after="120"/>
        <w:jc w:val="both"/>
        <w:rPr>
          <w:lang w:eastAsia="en-GB"/>
        </w:rPr>
      </w:pPr>
      <w:r w:rsidRPr="00E034E9">
        <w:rPr>
          <w:lang w:eastAsia="en-GB"/>
        </w:rPr>
        <w:t>Race Relations Act (1976)</w:t>
      </w:r>
    </w:p>
    <w:p w14:paraId="30A2C0BD" w14:textId="77777777" w:rsidR="00830656" w:rsidRPr="00E034E9" w:rsidRDefault="00830656" w:rsidP="00E034E9">
      <w:pPr>
        <w:numPr>
          <w:ilvl w:val="0"/>
          <w:numId w:val="17"/>
        </w:numPr>
        <w:spacing w:before="120" w:after="120"/>
        <w:jc w:val="both"/>
        <w:rPr>
          <w:lang w:eastAsia="en-GB"/>
        </w:rPr>
      </w:pPr>
      <w:r w:rsidRPr="00E034E9">
        <w:rPr>
          <w:lang w:eastAsia="en-GB"/>
        </w:rPr>
        <w:t>Sex Discrimination Act (1975)</w:t>
      </w:r>
    </w:p>
    <w:p w14:paraId="6EC8D259" w14:textId="77777777" w:rsidR="00830656" w:rsidRPr="00E034E9" w:rsidRDefault="00830656" w:rsidP="00E034E9">
      <w:pPr>
        <w:numPr>
          <w:ilvl w:val="0"/>
          <w:numId w:val="17"/>
        </w:numPr>
        <w:spacing w:before="120" w:after="120"/>
        <w:jc w:val="both"/>
        <w:rPr>
          <w:lang w:eastAsia="en-GB"/>
        </w:rPr>
      </w:pPr>
      <w:r w:rsidRPr="00E034E9">
        <w:rPr>
          <w:lang w:eastAsia="en-GB"/>
        </w:rPr>
        <w:t>Equal Pay Act (1970)</w:t>
      </w:r>
    </w:p>
    <w:p w14:paraId="293A894F" w14:textId="77777777" w:rsidR="00830656" w:rsidRPr="00E034E9" w:rsidRDefault="00830656" w:rsidP="00E034E9">
      <w:pPr>
        <w:numPr>
          <w:ilvl w:val="0"/>
          <w:numId w:val="17"/>
        </w:numPr>
        <w:spacing w:before="120" w:after="120"/>
        <w:jc w:val="both"/>
        <w:rPr>
          <w:lang w:eastAsia="en-GB"/>
        </w:rPr>
      </w:pPr>
      <w:r w:rsidRPr="00E034E9">
        <w:rPr>
          <w:lang w:eastAsia="en-GB"/>
        </w:rPr>
        <w:t>Disability Discrimination Act (1995)</w:t>
      </w:r>
    </w:p>
    <w:p w14:paraId="45B2619B" w14:textId="77777777" w:rsidR="00830656" w:rsidRPr="00E034E9" w:rsidRDefault="00830656" w:rsidP="00E034E9">
      <w:pPr>
        <w:numPr>
          <w:ilvl w:val="0"/>
          <w:numId w:val="17"/>
        </w:numPr>
        <w:spacing w:before="120" w:after="120"/>
        <w:jc w:val="both"/>
        <w:rPr>
          <w:lang w:eastAsia="en-GB"/>
        </w:rPr>
      </w:pPr>
      <w:r w:rsidRPr="00E034E9">
        <w:rPr>
          <w:lang w:eastAsia="en-GB"/>
        </w:rPr>
        <w:t>Part Time Workers Regulations (2000)</w:t>
      </w:r>
    </w:p>
    <w:p w14:paraId="67576334" w14:textId="77777777" w:rsidR="00830656" w:rsidRPr="00E034E9" w:rsidRDefault="00830656" w:rsidP="00E034E9">
      <w:pPr>
        <w:numPr>
          <w:ilvl w:val="0"/>
          <w:numId w:val="17"/>
        </w:numPr>
        <w:spacing w:before="120" w:after="120"/>
        <w:jc w:val="both"/>
        <w:rPr>
          <w:lang w:eastAsia="en-GB"/>
        </w:rPr>
      </w:pPr>
      <w:r w:rsidRPr="00E034E9">
        <w:rPr>
          <w:lang w:eastAsia="en-GB"/>
        </w:rPr>
        <w:t>Employment Equality (Age) Regulations (2003)</w:t>
      </w:r>
    </w:p>
    <w:p w14:paraId="1E85B150" w14:textId="77777777" w:rsidR="00830656" w:rsidRPr="00E034E9" w:rsidRDefault="00830656" w:rsidP="00E034E9">
      <w:pPr>
        <w:numPr>
          <w:ilvl w:val="0"/>
          <w:numId w:val="17"/>
        </w:numPr>
        <w:spacing w:before="120" w:after="120"/>
        <w:jc w:val="both"/>
        <w:rPr>
          <w:lang w:eastAsia="en-GB"/>
        </w:rPr>
      </w:pPr>
      <w:r w:rsidRPr="00E034E9">
        <w:rPr>
          <w:lang w:eastAsia="en-GB"/>
        </w:rPr>
        <w:t>And any code of practice issued pursuant to those statutes</w:t>
      </w:r>
    </w:p>
    <w:p w14:paraId="09F0015D" w14:textId="77777777" w:rsidR="00830656" w:rsidRPr="00E034E9" w:rsidRDefault="00830656" w:rsidP="00E034E9">
      <w:pPr>
        <w:spacing w:before="120" w:after="120"/>
        <w:jc w:val="both"/>
        <w:rPr>
          <w:lang w:eastAsia="en-GB"/>
        </w:rPr>
      </w:pPr>
    </w:p>
    <w:p w14:paraId="62C82EBE" w14:textId="77777777" w:rsidR="00E034E9" w:rsidRDefault="00E034E9" w:rsidP="00E034E9">
      <w:pPr>
        <w:spacing w:before="120" w:after="120"/>
        <w:jc w:val="both"/>
        <w:rPr>
          <w:b/>
          <w:smallCaps/>
          <w:color w:val="004071"/>
          <w:sz w:val="28"/>
          <w:szCs w:val="28"/>
          <w:lang w:eastAsia="en-GB"/>
        </w:rPr>
      </w:pPr>
    </w:p>
    <w:p w14:paraId="256E98A7" w14:textId="1D2D0291" w:rsidR="00830656" w:rsidRPr="00E034E9" w:rsidRDefault="00830656" w:rsidP="00E034E9">
      <w:pPr>
        <w:spacing w:before="120" w:after="120"/>
        <w:jc w:val="both"/>
        <w:rPr>
          <w:b/>
          <w:smallCaps/>
          <w:color w:val="004071"/>
          <w:sz w:val="28"/>
          <w:szCs w:val="28"/>
          <w:lang w:eastAsia="en-GB"/>
        </w:rPr>
      </w:pPr>
      <w:r w:rsidRPr="00E034E9">
        <w:rPr>
          <w:b/>
          <w:smallCaps/>
          <w:color w:val="004071"/>
          <w:sz w:val="28"/>
          <w:szCs w:val="28"/>
          <w:lang w:eastAsia="en-GB"/>
        </w:rPr>
        <w:lastRenderedPageBreak/>
        <w:t>Definitions</w:t>
      </w:r>
    </w:p>
    <w:p w14:paraId="048FBA2F" w14:textId="2FFCBD5C" w:rsidR="00830656" w:rsidRPr="00E034E9" w:rsidRDefault="00830656" w:rsidP="00E034E9">
      <w:pPr>
        <w:spacing w:before="120" w:after="120"/>
        <w:jc w:val="both"/>
        <w:rPr>
          <w:lang w:eastAsia="en-GB"/>
        </w:rPr>
      </w:pPr>
      <w:r w:rsidRPr="00E034E9">
        <w:rPr>
          <w:b/>
          <w:iCs/>
          <w:smallCaps/>
          <w:color w:val="004071"/>
          <w:lang w:eastAsia="en-GB"/>
        </w:rPr>
        <w:t>Direct discrimination</w:t>
      </w:r>
      <w:r w:rsidRPr="00E034E9">
        <w:rPr>
          <w:b/>
          <w:iCs/>
          <w:smallCaps/>
          <w:lang w:eastAsia="en-GB"/>
        </w:rPr>
        <w:t>:</w:t>
      </w:r>
      <w:r w:rsidRPr="00E034E9">
        <w:rPr>
          <w:lang w:eastAsia="en-GB"/>
        </w:rPr>
        <w:t xml:space="preserve"> Occurs where an individual (including a job applicant) is treated less favourably than another in same circumstances on one of the grounds</w:t>
      </w:r>
    </w:p>
    <w:p w14:paraId="61616FE7" w14:textId="0DF9418D" w:rsidR="00830656" w:rsidRPr="00E034E9" w:rsidRDefault="00830656" w:rsidP="00E034E9">
      <w:pPr>
        <w:spacing w:before="120" w:after="120"/>
        <w:jc w:val="both"/>
        <w:rPr>
          <w:lang w:eastAsia="en-GB"/>
        </w:rPr>
      </w:pPr>
      <w:r w:rsidRPr="00E034E9">
        <w:rPr>
          <w:b/>
          <w:iCs/>
          <w:smallCaps/>
          <w:color w:val="004071"/>
          <w:lang w:eastAsia="en-GB"/>
        </w:rPr>
        <w:t>Indirect discrimination</w:t>
      </w:r>
      <w:r w:rsidRPr="00E034E9">
        <w:rPr>
          <w:b/>
          <w:iCs/>
          <w:lang w:eastAsia="en-GB"/>
        </w:rPr>
        <w:t>:</w:t>
      </w:r>
      <w:r w:rsidRPr="00E034E9">
        <w:rPr>
          <w:lang w:eastAsia="en-GB"/>
        </w:rPr>
        <w:t xml:space="preserve"> Occurs where a condition is applied equally to all applicants, employees / Associates but the proportion of the one group of individuals that can comply is considerably smaller than the proportion of the other group that can comply. This policy applies equally whether full-time, part-time or fixed term Employee / Associate.</w:t>
      </w:r>
    </w:p>
    <w:p w14:paraId="3CE701C0" w14:textId="2E546A82" w:rsidR="00830656" w:rsidRPr="00E034E9" w:rsidRDefault="00830656" w:rsidP="00E034E9">
      <w:pPr>
        <w:spacing w:before="120" w:after="120"/>
        <w:jc w:val="both"/>
        <w:rPr>
          <w:lang w:eastAsia="en-GB"/>
        </w:rPr>
      </w:pPr>
      <w:r w:rsidRPr="00E034E9">
        <w:rPr>
          <w:b/>
          <w:iCs/>
          <w:smallCaps/>
          <w:color w:val="004071"/>
          <w:lang w:eastAsia="en-GB"/>
        </w:rPr>
        <w:t>Race Discrimination</w:t>
      </w:r>
      <w:r w:rsidRPr="00E034E9">
        <w:rPr>
          <w:b/>
          <w:iCs/>
          <w:smallCaps/>
          <w:lang w:eastAsia="en-GB"/>
        </w:rPr>
        <w:t>:</w:t>
      </w:r>
      <w:r w:rsidRPr="00E034E9">
        <w:rPr>
          <w:lang w:eastAsia="en-GB"/>
        </w:rPr>
        <w:t xml:space="preserve"> Includes any less favourable treatment of an individual on the ground of their race, colour, nationality citizenship and national or ethnic origins.</w:t>
      </w:r>
    </w:p>
    <w:p w14:paraId="44E76849" w14:textId="7786BE1D" w:rsidR="00830656" w:rsidRPr="00E034E9" w:rsidRDefault="00830656" w:rsidP="00E034E9">
      <w:pPr>
        <w:spacing w:before="120" w:after="120"/>
        <w:jc w:val="both"/>
        <w:rPr>
          <w:lang w:eastAsia="en-GB"/>
        </w:rPr>
      </w:pPr>
      <w:r w:rsidRPr="00E034E9">
        <w:rPr>
          <w:b/>
          <w:iCs/>
          <w:smallCaps/>
          <w:color w:val="004071"/>
          <w:lang w:eastAsia="en-GB"/>
        </w:rPr>
        <w:t>Sex Discrimination</w:t>
      </w:r>
      <w:r w:rsidRPr="00E034E9">
        <w:rPr>
          <w:b/>
          <w:iCs/>
          <w:smallCaps/>
          <w:lang w:eastAsia="en-GB"/>
        </w:rPr>
        <w:t>:</w:t>
      </w:r>
      <w:r w:rsidRPr="00E034E9">
        <w:rPr>
          <w:b/>
          <w:i/>
          <w:lang w:eastAsia="en-GB"/>
        </w:rPr>
        <w:t xml:space="preserve"> </w:t>
      </w:r>
      <w:r w:rsidRPr="00E034E9">
        <w:rPr>
          <w:lang w:eastAsia="en-GB"/>
        </w:rPr>
        <w:t xml:space="preserve"> includes any less favourable treatment of an individual on the grounds of their gender, gender re-assignment, sexual orientation, marital status, pregnancy and/or his/her ability to carry out normal day to day activities.</w:t>
      </w:r>
    </w:p>
    <w:p w14:paraId="0165056E" w14:textId="149238B5" w:rsidR="00830656" w:rsidRDefault="00830656" w:rsidP="00E034E9">
      <w:pPr>
        <w:spacing w:before="120" w:after="120"/>
        <w:jc w:val="both"/>
        <w:rPr>
          <w:lang w:eastAsia="en-GB"/>
        </w:rPr>
      </w:pPr>
      <w:r w:rsidRPr="00E034E9">
        <w:rPr>
          <w:b/>
          <w:iCs/>
          <w:smallCaps/>
          <w:color w:val="004071"/>
          <w:lang w:eastAsia="en-GB"/>
        </w:rPr>
        <w:t>Disability Discrimination</w:t>
      </w:r>
      <w:r w:rsidRPr="00E034E9">
        <w:rPr>
          <w:b/>
          <w:i/>
          <w:smallCaps/>
          <w:lang w:eastAsia="en-GB"/>
        </w:rPr>
        <w:t>:</w:t>
      </w:r>
      <w:r w:rsidRPr="00E034E9">
        <w:rPr>
          <w:b/>
          <w:i/>
          <w:lang w:eastAsia="en-GB"/>
        </w:rPr>
        <w:t xml:space="preserve"> </w:t>
      </w:r>
      <w:r w:rsidRPr="00E034E9">
        <w:rPr>
          <w:i/>
          <w:lang w:eastAsia="en-GB"/>
        </w:rPr>
        <w:t>a</w:t>
      </w:r>
      <w:r w:rsidRPr="00E034E9">
        <w:rPr>
          <w:lang w:eastAsia="en-GB"/>
        </w:rPr>
        <w:t xml:space="preserve"> ‘disabled person’ as defined under the Disability Discrimination Act (1996) is one who has a physical or mental impairment that has a substantial and long-term adverse effect on his/her ability to carry out normal day to day activities.</w:t>
      </w:r>
    </w:p>
    <w:p w14:paraId="48964348" w14:textId="77777777" w:rsidR="00E034E9" w:rsidRPr="00E034E9" w:rsidRDefault="00E034E9" w:rsidP="00E034E9">
      <w:pPr>
        <w:spacing w:before="120" w:after="120"/>
        <w:jc w:val="both"/>
        <w:rPr>
          <w:lang w:eastAsia="en-GB"/>
        </w:rPr>
      </w:pPr>
    </w:p>
    <w:p w14:paraId="1B8DFA72" w14:textId="77777777" w:rsidR="00830656" w:rsidRPr="00E034E9" w:rsidRDefault="00830656" w:rsidP="00E034E9">
      <w:pPr>
        <w:spacing w:before="120" w:after="120"/>
        <w:jc w:val="both"/>
        <w:rPr>
          <w:lang w:eastAsia="en-GB"/>
        </w:rPr>
      </w:pPr>
      <w:r w:rsidRPr="00E034E9">
        <w:rPr>
          <w:lang w:eastAsia="en-GB"/>
        </w:rPr>
        <w:t>The IAC’s policy is that no employee or job applicant should receive less favourable treatment than another directly or indirectly on the grounds of disability. This applies to: -</w:t>
      </w:r>
    </w:p>
    <w:p w14:paraId="30CDA4B5" w14:textId="77777777" w:rsidR="00830656" w:rsidRPr="00E034E9" w:rsidRDefault="00830656" w:rsidP="00E034E9">
      <w:pPr>
        <w:spacing w:before="120" w:after="120"/>
        <w:jc w:val="both"/>
        <w:rPr>
          <w:lang w:eastAsia="en-GB"/>
        </w:rPr>
      </w:pPr>
    </w:p>
    <w:p w14:paraId="5C34890F" w14:textId="77777777" w:rsidR="00830656" w:rsidRPr="00E034E9" w:rsidRDefault="00830656" w:rsidP="00E034E9">
      <w:pPr>
        <w:numPr>
          <w:ilvl w:val="0"/>
          <w:numId w:val="18"/>
        </w:numPr>
        <w:spacing w:before="120" w:after="120"/>
        <w:jc w:val="both"/>
        <w:rPr>
          <w:lang w:eastAsia="en-GB"/>
        </w:rPr>
      </w:pPr>
      <w:r w:rsidRPr="00E034E9">
        <w:rPr>
          <w:lang w:eastAsia="en-GB"/>
        </w:rPr>
        <w:t>discrimination against a disabled person in employment</w:t>
      </w:r>
    </w:p>
    <w:p w14:paraId="667AE9B6" w14:textId="77777777" w:rsidR="00830656" w:rsidRPr="00E034E9" w:rsidRDefault="00830656" w:rsidP="00E034E9">
      <w:pPr>
        <w:numPr>
          <w:ilvl w:val="0"/>
          <w:numId w:val="18"/>
        </w:numPr>
        <w:spacing w:before="120" w:after="120"/>
        <w:jc w:val="both"/>
        <w:rPr>
          <w:lang w:eastAsia="en-GB"/>
        </w:rPr>
      </w:pPr>
      <w:r w:rsidRPr="00E034E9">
        <w:rPr>
          <w:lang w:eastAsia="en-GB"/>
        </w:rPr>
        <w:t>failure to provide any necessary reasonable adjustments</w:t>
      </w:r>
    </w:p>
    <w:p w14:paraId="1464EACC" w14:textId="77777777" w:rsidR="00830656" w:rsidRPr="00E034E9" w:rsidRDefault="00830656" w:rsidP="00E034E9">
      <w:pPr>
        <w:numPr>
          <w:ilvl w:val="0"/>
          <w:numId w:val="18"/>
        </w:numPr>
        <w:spacing w:before="120" w:after="120"/>
        <w:jc w:val="both"/>
        <w:rPr>
          <w:lang w:eastAsia="en-GB"/>
        </w:rPr>
      </w:pPr>
      <w:r w:rsidRPr="00E034E9">
        <w:rPr>
          <w:lang w:eastAsia="en-GB"/>
        </w:rPr>
        <w:t>the provision of lower standards, less favourable terms, or the refusal of service to disabled persons.</w:t>
      </w:r>
    </w:p>
    <w:p w14:paraId="7E905B5D" w14:textId="77777777" w:rsidR="00830656" w:rsidRPr="00E034E9" w:rsidRDefault="00830656" w:rsidP="00E034E9">
      <w:pPr>
        <w:spacing w:before="120" w:after="120"/>
        <w:jc w:val="both"/>
        <w:rPr>
          <w:lang w:eastAsia="en-GB"/>
        </w:rPr>
      </w:pPr>
    </w:p>
    <w:p w14:paraId="497DB2EF" w14:textId="5FF6D419" w:rsidR="00830656" w:rsidRDefault="00830656" w:rsidP="00E034E9">
      <w:pPr>
        <w:spacing w:before="120" w:after="120"/>
        <w:jc w:val="both"/>
        <w:rPr>
          <w:lang w:eastAsia="en-GB"/>
        </w:rPr>
      </w:pPr>
      <w:r w:rsidRPr="00E034E9">
        <w:rPr>
          <w:lang w:eastAsia="en-GB"/>
        </w:rPr>
        <w:t>If an individual is disabled, efforts will be made to provide reasonable adjustments to reduce the effects of the disability. They will not receive less favourable treatment than a non-disabled person directly or indirectly on the grounds of their disability unless such treatment is justified. In addition, if they are applying for a job, they will be asked prior to interview, if they have specific requirements, so that reasonable adjustments can be made in advance. It should be noted that there are certain circumstances in which the organisation is justified in treating a disabled person less favourable than others. These specified conditions are that: -</w:t>
      </w:r>
    </w:p>
    <w:p w14:paraId="1B33BCD8" w14:textId="77777777" w:rsidR="00E034E9" w:rsidRPr="00E034E9" w:rsidRDefault="00E034E9" w:rsidP="00E034E9">
      <w:pPr>
        <w:spacing w:before="120" w:after="120"/>
        <w:jc w:val="both"/>
        <w:rPr>
          <w:lang w:eastAsia="en-GB"/>
        </w:rPr>
      </w:pPr>
    </w:p>
    <w:p w14:paraId="764646CD" w14:textId="77777777" w:rsidR="00830656" w:rsidRPr="00E034E9" w:rsidRDefault="00830656" w:rsidP="00E034E9">
      <w:pPr>
        <w:numPr>
          <w:ilvl w:val="0"/>
          <w:numId w:val="19"/>
        </w:numPr>
        <w:spacing w:before="120" w:after="120"/>
        <w:ind w:left="700"/>
        <w:jc w:val="both"/>
        <w:rPr>
          <w:lang w:eastAsia="en-GB"/>
        </w:rPr>
      </w:pPr>
      <w:r w:rsidRPr="00E034E9">
        <w:rPr>
          <w:lang w:eastAsia="en-GB"/>
        </w:rPr>
        <w:t>the individual is unsuitable for the employment</w:t>
      </w:r>
    </w:p>
    <w:p w14:paraId="01171E5D" w14:textId="77777777" w:rsidR="00830656" w:rsidRPr="00E034E9" w:rsidRDefault="00830656" w:rsidP="00E034E9">
      <w:pPr>
        <w:numPr>
          <w:ilvl w:val="0"/>
          <w:numId w:val="19"/>
        </w:numPr>
        <w:spacing w:before="120" w:after="120"/>
        <w:ind w:left="700"/>
        <w:jc w:val="both"/>
        <w:rPr>
          <w:lang w:eastAsia="en-GB"/>
        </w:rPr>
      </w:pPr>
      <w:r w:rsidRPr="00E034E9">
        <w:rPr>
          <w:lang w:eastAsia="en-GB"/>
        </w:rPr>
        <w:t>the individual is less suitable for the employment than another person</w:t>
      </w:r>
    </w:p>
    <w:p w14:paraId="6EF47ADF" w14:textId="77777777" w:rsidR="00830656" w:rsidRPr="00E034E9" w:rsidRDefault="00830656" w:rsidP="00E034E9">
      <w:pPr>
        <w:numPr>
          <w:ilvl w:val="0"/>
          <w:numId w:val="19"/>
        </w:numPr>
        <w:spacing w:before="120" w:after="120"/>
        <w:ind w:left="700"/>
        <w:jc w:val="both"/>
        <w:rPr>
          <w:lang w:eastAsia="en-GB"/>
        </w:rPr>
      </w:pPr>
      <w:r w:rsidRPr="00E034E9">
        <w:rPr>
          <w:lang w:eastAsia="en-GB"/>
        </w:rPr>
        <w:t>the nature of the individual’s disability significantly impedes, or would significantly impede the performance of their duties</w:t>
      </w:r>
    </w:p>
    <w:p w14:paraId="341AB9D8" w14:textId="77777777" w:rsidR="00830656" w:rsidRPr="00E034E9" w:rsidRDefault="00830656" w:rsidP="00E034E9">
      <w:pPr>
        <w:numPr>
          <w:ilvl w:val="0"/>
          <w:numId w:val="19"/>
        </w:numPr>
        <w:spacing w:before="120" w:after="120"/>
        <w:ind w:left="700"/>
        <w:jc w:val="both"/>
        <w:rPr>
          <w:lang w:eastAsia="en-GB"/>
        </w:rPr>
      </w:pPr>
      <w:r w:rsidRPr="00E034E9">
        <w:rPr>
          <w:lang w:eastAsia="en-GB"/>
        </w:rPr>
        <w:t>in the case of training, the nature of the individual’s disability would significantly reduce the value of the training (either to the individual or to the employer)</w:t>
      </w:r>
    </w:p>
    <w:p w14:paraId="00586A04" w14:textId="77777777" w:rsidR="00830656" w:rsidRPr="00E034E9" w:rsidRDefault="00830656" w:rsidP="00E034E9">
      <w:pPr>
        <w:spacing w:before="120" w:after="120"/>
        <w:jc w:val="both"/>
        <w:rPr>
          <w:lang w:eastAsia="en-GB"/>
        </w:rPr>
      </w:pPr>
    </w:p>
    <w:p w14:paraId="5AE7C70F" w14:textId="77777777" w:rsidR="00830656" w:rsidRPr="00E034E9" w:rsidRDefault="00830656" w:rsidP="00E034E9">
      <w:pPr>
        <w:spacing w:before="120" w:after="120"/>
        <w:jc w:val="both"/>
        <w:rPr>
          <w:lang w:eastAsia="en-GB"/>
        </w:rPr>
      </w:pPr>
      <w:r w:rsidRPr="00E034E9">
        <w:rPr>
          <w:lang w:eastAsia="en-GB"/>
        </w:rPr>
        <w:t>If necessary, the company will seek expert help in assessing disability and exploring possibilities for appropriate and practical adjustments.</w:t>
      </w:r>
    </w:p>
    <w:p w14:paraId="08CC7FB8" w14:textId="77777777" w:rsidR="00830656" w:rsidRPr="00E034E9" w:rsidRDefault="00830656" w:rsidP="00E034E9">
      <w:pPr>
        <w:spacing w:before="120" w:after="120"/>
        <w:jc w:val="both"/>
        <w:rPr>
          <w:b/>
          <w:lang w:eastAsia="en-GB"/>
        </w:rPr>
      </w:pPr>
    </w:p>
    <w:p w14:paraId="14633821" w14:textId="14492297" w:rsidR="00830656" w:rsidRPr="00E034E9" w:rsidRDefault="00830656" w:rsidP="00E034E9">
      <w:pPr>
        <w:spacing w:before="120" w:after="120"/>
        <w:jc w:val="both"/>
        <w:rPr>
          <w:b/>
          <w:smallCaps/>
          <w:color w:val="004071"/>
          <w:sz w:val="28"/>
          <w:szCs w:val="28"/>
          <w:lang w:eastAsia="en-GB"/>
        </w:rPr>
      </w:pPr>
      <w:r w:rsidRPr="00E034E9">
        <w:rPr>
          <w:b/>
          <w:smallCaps/>
          <w:color w:val="004071"/>
          <w:sz w:val="28"/>
          <w:szCs w:val="28"/>
          <w:lang w:eastAsia="en-GB"/>
        </w:rPr>
        <w:lastRenderedPageBreak/>
        <w:t>Complaints and Investigations</w:t>
      </w:r>
    </w:p>
    <w:p w14:paraId="3D6D1644" w14:textId="77777777" w:rsidR="00830656" w:rsidRPr="00E034E9" w:rsidRDefault="00830656" w:rsidP="00E034E9">
      <w:pPr>
        <w:spacing w:before="120" w:after="120"/>
        <w:jc w:val="both"/>
        <w:rPr>
          <w:lang w:eastAsia="en-GB"/>
        </w:rPr>
      </w:pPr>
      <w:r w:rsidRPr="00E034E9">
        <w:rPr>
          <w:lang w:eastAsia="en-GB"/>
        </w:rPr>
        <w:t>The following procedures detail both informal and formal methods that may be used to ensure that any discriminatory problems that the employee / associate may encounter are resolved in an efficient and effective manner.</w:t>
      </w:r>
    </w:p>
    <w:p w14:paraId="1CFC0519" w14:textId="77777777" w:rsidR="00830656" w:rsidRPr="00E034E9" w:rsidRDefault="00830656" w:rsidP="00E034E9">
      <w:pPr>
        <w:spacing w:before="120" w:after="120"/>
        <w:jc w:val="both"/>
        <w:rPr>
          <w:lang w:eastAsia="en-GB"/>
        </w:rPr>
      </w:pPr>
    </w:p>
    <w:p w14:paraId="7013DA0A" w14:textId="54C0C2B6" w:rsidR="00830656" w:rsidRPr="00E034E9" w:rsidRDefault="00830656" w:rsidP="00E034E9">
      <w:pPr>
        <w:spacing w:before="120" w:after="120"/>
        <w:jc w:val="both"/>
        <w:rPr>
          <w:b/>
          <w:smallCaps/>
          <w:color w:val="004071"/>
          <w:sz w:val="28"/>
          <w:szCs w:val="28"/>
          <w:lang w:eastAsia="en-GB"/>
        </w:rPr>
      </w:pPr>
      <w:r w:rsidRPr="00E034E9">
        <w:rPr>
          <w:b/>
          <w:smallCaps/>
          <w:color w:val="004071"/>
          <w:sz w:val="28"/>
          <w:szCs w:val="28"/>
          <w:lang w:eastAsia="en-GB"/>
        </w:rPr>
        <w:t>Informal process</w:t>
      </w:r>
    </w:p>
    <w:p w14:paraId="44A094FD" w14:textId="77777777" w:rsidR="00830656" w:rsidRPr="00E034E9" w:rsidRDefault="00830656" w:rsidP="00E034E9">
      <w:pPr>
        <w:spacing w:before="120" w:after="120"/>
        <w:jc w:val="both"/>
        <w:rPr>
          <w:lang w:eastAsia="en-GB"/>
        </w:rPr>
      </w:pPr>
      <w:r w:rsidRPr="00E034E9">
        <w:rPr>
          <w:lang w:eastAsia="en-GB"/>
        </w:rPr>
        <w:t>If possible, and where appropriate, the employee / associate should attempt to resolve the problem informally in the first instance. The first step is for the employee / associate to explain clearly to the person engaging in the unwanted behaviour why they feel it is discriminatory.</w:t>
      </w:r>
    </w:p>
    <w:p w14:paraId="5F80825A" w14:textId="77777777" w:rsidR="00830656" w:rsidRPr="00E034E9" w:rsidRDefault="00830656" w:rsidP="00E034E9">
      <w:pPr>
        <w:spacing w:before="120" w:after="120"/>
        <w:jc w:val="both"/>
        <w:rPr>
          <w:lang w:eastAsia="en-GB"/>
        </w:rPr>
      </w:pPr>
    </w:p>
    <w:p w14:paraId="3A6A1A7F" w14:textId="01FAA161" w:rsidR="00830656" w:rsidRPr="00E034E9" w:rsidRDefault="00830656" w:rsidP="00E034E9">
      <w:pPr>
        <w:spacing w:before="120" w:after="120"/>
        <w:jc w:val="both"/>
        <w:rPr>
          <w:b/>
          <w:smallCaps/>
          <w:color w:val="004071"/>
          <w:sz w:val="28"/>
          <w:szCs w:val="28"/>
          <w:lang w:eastAsia="en-GB"/>
        </w:rPr>
      </w:pPr>
      <w:r w:rsidRPr="00E034E9">
        <w:rPr>
          <w:b/>
          <w:smallCaps/>
          <w:color w:val="004071"/>
          <w:sz w:val="28"/>
          <w:szCs w:val="28"/>
          <w:lang w:eastAsia="en-GB"/>
        </w:rPr>
        <w:t>Formal process</w:t>
      </w:r>
    </w:p>
    <w:p w14:paraId="138753C1" w14:textId="77777777" w:rsidR="00830656" w:rsidRPr="00E034E9" w:rsidRDefault="00830656" w:rsidP="00E034E9">
      <w:pPr>
        <w:spacing w:before="120" w:after="120"/>
        <w:jc w:val="both"/>
        <w:rPr>
          <w:lang w:eastAsia="en-GB"/>
        </w:rPr>
      </w:pPr>
      <w:r w:rsidRPr="00E034E9">
        <w:rPr>
          <w:lang w:eastAsia="en-GB"/>
        </w:rPr>
        <w:t>If the discrimination continues, or if it is inappropriate to resolve the problem informally, the following steps should be taken: -</w:t>
      </w:r>
    </w:p>
    <w:p w14:paraId="49A4CFE1" w14:textId="77777777" w:rsidR="00830656" w:rsidRPr="00E034E9" w:rsidRDefault="00830656" w:rsidP="00E034E9">
      <w:pPr>
        <w:spacing w:before="120" w:after="120"/>
        <w:jc w:val="both"/>
        <w:rPr>
          <w:lang w:eastAsia="en-GB"/>
        </w:rPr>
      </w:pPr>
    </w:p>
    <w:p w14:paraId="56963EE0" w14:textId="52BFFA87" w:rsidR="00830656" w:rsidRPr="00E034E9" w:rsidRDefault="00830656" w:rsidP="00E034E9">
      <w:pPr>
        <w:pStyle w:val="ListParagraph"/>
        <w:numPr>
          <w:ilvl w:val="0"/>
          <w:numId w:val="31"/>
        </w:numPr>
        <w:spacing w:before="120" w:after="120"/>
        <w:jc w:val="both"/>
        <w:rPr>
          <w:lang w:eastAsia="en-GB"/>
        </w:rPr>
      </w:pPr>
      <w:r w:rsidRPr="00E034E9">
        <w:rPr>
          <w:lang w:eastAsia="en-GB"/>
        </w:rPr>
        <w:t>The employee / associate should raise the issue with their direct line manager (or IAC Director), who will provide support and assistance. At this stage any issues raised will remain in confidence.</w:t>
      </w:r>
    </w:p>
    <w:p w14:paraId="080982BC" w14:textId="1C3C40C1" w:rsidR="00830656" w:rsidRPr="00E034E9" w:rsidRDefault="00830656" w:rsidP="00E034E9">
      <w:pPr>
        <w:pStyle w:val="ListParagraph"/>
        <w:numPr>
          <w:ilvl w:val="0"/>
          <w:numId w:val="31"/>
        </w:numPr>
        <w:spacing w:before="120" w:after="120"/>
        <w:jc w:val="both"/>
        <w:rPr>
          <w:lang w:eastAsia="en-GB"/>
        </w:rPr>
      </w:pPr>
      <w:r w:rsidRPr="00E034E9">
        <w:rPr>
          <w:lang w:eastAsia="en-GB"/>
        </w:rPr>
        <w:t>If the employee / associate wishes to raise a formal complaint, they should put it in writing to their manager (Or IAC Director).</w:t>
      </w:r>
    </w:p>
    <w:p w14:paraId="5CC53025" w14:textId="2F865A4C" w:rsidR="00830656" w:rsidRPr="00E034E9" w:rsidRDefault="00830656" w:rsidP="00E034E9">
      <w:pPr>
        <w:pStyle w:val="ListParagraph"/>
        <w:numPr>
          <w:ilvl w:val="0"/>
          <w:numId w:val="31"/>
        </w:numPr>
        <w:spacing w:before="120" w:after="120"/>
        <w:jc w:val="both"/>
        <w:rPr>
          <w:lang w:eastAsia="en-GB"/>
        </w:rPr>
      </w:pPr>
      <w:r w:rsidRPr="00E034E9">
        <w:rPr>
          <w:lang w:eastAsia="en-GB"/>
        </w:rPr>
        <w:t>The manager (or IAC Director) will arrange for the issues raised to be investigated. The investigation will explore the issues raised by the employee / associate, the person complained about and any witnesses who may wish to make a statement. In certain cases, it may be appropriate to suspend the person complained about to facilitate the investigation.</w:t>
      </w:r>
    </w:p>
    <w:p w14:paraId="66BC4030" w14:textId="5B9DC539" w:rsidR="00830656" w:rsidRPr="00E034E9" w:rsidRDefault="00830656" w:rsidP="00E034E9">
      <w:pPr>
        <w:pStyle w:val="ListParagraph"/>
        <w:numPr>
          <w:ilvl w:val="0"/>
          <w:numId w:val="31"/>
        </w:numPr>
        <w:spacing w:before="120" w:after="120"/>
        <w:jc w:val="both"/>
        <w:rPr>
          <w:lang w:eastAsia="en-GB"/>
        </w:rPr>
      </w:pPr>
      <w:r w:rsidRPr="00E034E9">
        <w:rPr>
          <w:lang w:eastAsia="en-GB"/>
        </w:rPr>
        <w:t>The appointed investigating person will aim to minimise the length of any investigation, whilst at the same time, balancing the need to carry out a thorough investigation.  All investigations will be handled in a strictly confidential manner</w:t>
      </w:r>
    </w:p>
    <w:p w14:paraId="548D80BC" w14:textId="6E85B5C4" w:rsidR="00830656" w:rsidRPr="00E034E9" w:rsidRDefault="00830656" w:rsidP="00E034E9">
      <w:pPr>
        <w:pStyle w:val="ListParagraph"/>
        <w:numPr>
          <w:ilvl w:val="0"/>
          <w:numId w:val="31"/>
        </w:numPr>
        <w:spacing w:before="120" w:after="120"/>
        <w:jc w:val="both"/>
        <w:rPr>
          <w:lang w:eastAsia="en-GB"/>
        </w:rPr>
      </w:pPr>
      <w:r w:rsidRPr="00E034E9">
        <w:rPr>
          <w:lang w:eastAsia="en-GB"/>
        </w:rPr>
        <w:t>Each side will have an opportunity to put their side of the case, either on their own or with a work colleague and the person complained about will be given full details of the nature of the complaint and will be given the opportunity to respond</w:t>
      </w:r>
    </w:p>
    <w:p w14:paraId="6A937D17" w14:textId="6A8163D5" w:rsidR="00830656" w:rsidRPr="00E034E9" w:rsidRDefault="00830656" w:rsidP="00E034E9">
      <w:pPr>
        <w:pStyle w:val="ListParagraph"/>
        <w:numPr>
          <w:ilvl w:val="0"/>
          <w:numId w:val="31"/>
        </w:numPr>
        <w:spacing w:before="120" w:after="120"/>
        <w:jc w:val="both"/>
        <w:rPr>
          <w:lang w:eastAsia="en-GB"/>
        </w:rPr>
      </w:pPr>
      <w:r w:rsidRPr="00E034E9">
        <w:rPr>
          <w:lang w:eastAsia="en-GB"/>
        </w:rPr>
        <w:t>Following the investigation, the findings and any recommendations will be given to the employee / associate and the person complained about, in writing.  If the issues raised have not been resolved to an acceptable level the employee may appeal to the Managing Director.</w:t>
      </w:r>
    </w:p>
    <w:p w14:paraId="349F5450" w14:textId="1EF3DC27" w:rsidR="00830656" w:rsidRPr="00E034E9" w:rsidRDefault="00830656" w:rsidP="00E034E9">
      <w:pPr>
        <w:pStyle w:val="ListParagraph"/>
        <w:numPr>
          <w:ilvl w:val="0"/>
          <w:numId w:val="31"/>
        </w:numPr>
        <w:spacing w:before="120" w:after="120"/>
        <w:jc w:val="both"/>
        <w:rPr>
          <w:lang w:eastAsia="en-GB"/>
        </w:rPr>
      </w:pPr>
      <w:r w:rsidRPr="00E034E9">
        <w:rPr>
          <w:lang w:eastAsia="en-GB"/>
        </w:rPr>
        <w:t xml:space="preserve">If the case is substantiated a </w:t>
      </w:r>
      <w:r w:rsidRPr="00E034E9">
        <w:rPr>
          <w:b/>
          <w:bCs/>
          <w:lang w:eastAsia="en-GB"/>
        </w:rPr>
        <w:t>disciplinary hearing</w:t>
      </w:r>
      <w:r w:rsidRPr="00E034E9">
        <w:rPr>
          <w:lang w:eastAsia="en-GB"/>
        </w:rPr>
        <w:t xml:space="preserve"> may be convened and the company’s disciplinary policy will apply.</w:t>
      </w:r>
    </w:p>
    <w:p w14:paraId="5F724FF6" w14:textId="77777777" w:rsidR="00830656" w:rsidRPr="00E034E9" w:rsidRDefault="00830656" w:rsidP="00E034E9">
      <w:pPr>
        <w:pStyle w:val="ListParagraph"/>
        <w:numPr>
          <w:ilvl w:val="0"/>
          <w:numId w:val="31"/>
        </w:numPr>
        <w:spacing w:before="120" w:after="120"/>
        <w:jc w:val="both"/>
        <w:rPr>
          <w:lang w:eastAsia="en-GB"/>
        </w:rPr>
      </w:pPr>
      <w:r w:rsidRPr="00E034E9">
        <w:rPr>
          <w:lang w:eastAsia="en-GB"/>
        </w:rPr>
        <w:t xml:space="preserve">The company will undertake to do everything possible to prevent any re-occurrence of any substantiated discriminatory behaviour or practices. </w:t>
      </w:r>
    </w:p>
    <w:p w14:paraId="24EB1336" w14:textId="77777777" w:rsidR="00830656" w:rsidRPr="00E034E9" w:rsidRDefault="00830656" w:rsidP="00E034E9">
      <w:pPr>
        <w:spacing w:before="120" w:after="120"/>
        <w:jc w:val="both"/>
        <w:rPr>
          <w:lang w:eastAsia="en-GB"/>
        </w:rPr>
      </w:pPr>
      <w:r w:rsidRPr="00E034E9">
        <w:rPr>
          <w:lang w:eastAsia="en-GB"/>
        </w:rPr>
        <w:t>** Where a complaint is upheld, it may be necessary to relocate or transfer one party. It will not automatically be the complainant who is expected to move, but the choice will be offered where practicable. Transfer on disadvantageous terms may be offered to the person complained about where allegations are proven, as an alternative to dismissal.</w:t>
      </w:r>
    </w:p>
    <w:p w14:paraId="694CBC81" w14:textId="77777777" w:rsidR="00830656" w:rsidRPr="00E034E9" w:rsidRDefault="00830656" w:rsidP="00E034E9">
      <w:pPr>
        <w:spacing w:before="120" w:after="120"/>
        <w:jc w:val="both"/>
        <w:rPr>
          <w:lang w:eastAsia="en-GB"/>
        </w:rPr>
      </w:pPr>
    </w:p>
    <w:p w14:paraId="5AAB9885" w14:textId="070DB0E0" w:rsidR="00830656" w:rsidRPr="00E034E9" w:rsidRDefault="00830656" w:rsidP="00E034E9">
      <w:pPr>
        <w:spacing w:before="120" w:after="120"/>
        <w:jc w:val="both"/>
        <w:rPr>
          <w:b/>
          <w:smallCaps/>
          <w:color w:val="004071"/>
          <w:sz w:val="28"/>
          <w:szCs w:val="28"/>
          <w:lang w:eastAsia="en-GB"/>
        </w:rPr>
      </w:pPr>
      <w:r w:rsidRPr="00E034E9">
        <w:rPr>
          <w:b/>
          <w:smallCaps/>
          <w:color w:val="004071"/>
          <w:sz w:val="28"/>
          <w:szCs w:val="28"/>
          <w:lang w:eastAsia="en-GB"/>
        </w:rPr>
        <w:t>During Employment</w:t>
      </w:r>
    </w:p>
    <w:p w14:paraId="04070242" w14:textId="77777777" w:rsidR="00830656" w:rsidRPr="00E034E9" w:rsidRDefault="00830656" w:rsidP="00E034E9">
      <w:pPr>
        <w:spacing w:before="120" w:after="120"/>
        <w:jc w:val="both"/>
        <w:rPr>
          <w:lang w:eastAsia="en-GB"/>
        </w:rPr>
      </w:pPr>
      <w:r w:rsidRPr="00E034E9">
        <w:rPr>
          <w:lang w:eastAsia="en-GB"/>
        </w:rPr>
        <w:t xml:space="preserve">The IAC will make every effort to ensure that discrimination does not occur during employment. The following action will be taken specifically surrounding the following areas: - </w:t>
      </w:r>
    </w:p>
    <w:p w14:paraId="3FC0420F" w14:textId="3347426B" w:rsidR="00830656" w:rsidRPr="00E034E9" w:rsidRDefault="00830656" w:rsidP="00E034E9">
      <w:pPr>
        <w:spacing w:before="120" w:after="120"/>
        <w:jc w:val="both"/>
        <w:rPr>
          <w:b/>
          <w:smallCaps/>
          <w:color w:val="004071"/>
          <w:sz w:val="28"/>
          <w:szCs w:val="28"/>
          <w:lang w:eastAsia="en-GB"/>
        </w:rPr>
      </w:pPr>
      <w:r w:rsidRPr="00E034E9">
        <w:rPr>
          <w:b/>
          <w:smallCaps/>
          <w:color w:val="004071"/>
          <w:sz w:val="28"/>
          <w:szCs w:val="28"/>
          <w:lang w:eastAsia="en-GB"/>
        </w:rPr>
        <w:lastRenderedPageBreak/>
        <w:t>Advertising Vacancies</w:t>
      </w:r>
    </w:p>
    <w:p w14:paraId="4DB315AF" w14:textId="77777777" w:rsidR="00830656" w:rsidRPr="00E034E9" w:rsidRDefault="00830656" w:rsidP="00E034E9">
      <w:pPr>
        <w:spacing w:before="120" w:after="120"/>
        <w:jc w:val="both"/>
        <w:rPr>
          <w:lang w:eastAsia="en-GB"/>
        </w:rPr>
      </w:pPr>
      <w:r w:rsidRPr="00E034E9">
        <w:rPr>
          <w:lang w:eastAsia="en-GB"/>
        </w:rPr>
        <w:t>Where vacancies are advertised, either internally or externally, care will be taken to ensure the advertisements do not discriminate against anyone on the grounds contained in the equal opportunity list.</w:t>
      </w:r>
    </w:p>
    <w:p w14:paraId="6A53CB6A" w14:textId="77777777" w:rsidR="00830656" w:rsidRPr="00E034E9" w:rsidRDefault="00830656" w:rsidP="00E034E9">
      <w:pPr>
        <w:spacing w:before="120" w:after="120"/>
        <w:jc w:val="both"/>
        <w:rPr>
          <w:lang w:eastAsia="en-GB"/>
        </w:rPr>
      </w:pPr>
    </w:p>
    <w:p w14:paraId="0946728A" w14:textId="4FCBC074" w:rsidR="00830656" w:rsidRPr="00E034E9" w:rsidRDefault="00830656" w:rsidP="00E034E9">
      <w:pPr>
        <w:spacing w:before="120" w:after="120"/>
        <w:jc w:val="both"/>
        <w:rPr>
          <w:b/>
          <w:smallCaps/>
          <w:color w:val="004071"/>
          <w:sz w:val="28"/>
          <w:szCs w:val="28"/>
          <w:lang w:eastAsia="en-GB"/>
        </w:rPr>
      </w:pPr>
      <w:r w:rsidRPr="00E034E9">
        <w:rPr>
          <w:b/>
          <w:smallCaps/>
          <w:color w:val="004071"/>
          <w:sz w:val="28"/>
          <w:szCs w:val="28"/>
          <w:lang w:eastAsia="en-GB"/>
        </w:rPr>
        <w:t>Role Profiles</w:t>
      </w:r>
    </w:p>
    <w:p w14:paraId="6EA4BFEB" w14:textId="77777777" w:rsidR="00830656" w:rsidRPr="00E034E9" w:rsidRDefault="00830656" w:rsidP="00E034E9">
      <w:pPr>
        <w:spacing w:before="120" w:after="120"/>
        <w:jc w:val="both"/>
        <w:rPr>
          <w:lang w:eastAsia="en-GB"/>
        </w:rPr>
      </w:pPr>
      <w:r w:rsidRPr="00E034E9">
        <w:rPr>
          <w:lang w:eastAsia="en-GB"/>
        </w:rPr>
        <w:t>The wording of the role profile will clearly identify the responsibilities of a role in order to eliminate any potentially discriminatory criteria or phrases.</w:t>
      </w:r>
    </w:p>
    <w:p w14:paraId="5D8FF5C1" w14:textId="56A2F892" w:rsidR="00830656" w:rsidRPr="00E034E9" w:rsidRDefault="00830656" w:rsidP="00E034E9">
      <w:pPr>
        <w:spacing w:before="120" w:after="120"/>
        <w:jc w:val="both"/>
        <w:rPr>
          <w:lang w:eastAsia="en-GB"/>
        </w:rPr>
      </w:pPr>
      <w:r w:rsidRPr="00E034E9">
        <w:rPr>
          <w:lang w:eastAsia="en-GB"/>
        </w:rPr>
        <w:t>The recruiting person should give consideration to hours of work and job content to determine whether the role could be adequately carried out by job-sharing, flexitime or part-time hours, taking into account business and operational requirements.</w:t>
      </w:r>
    </w:p>
    <w:p w14:paraId="76D3E346" w14:textId="77777777" w:rsidR="00830656" w:rsidRPr="00E034E9" w:rsidRDefault="00830656" w:rsidP="00E034E9">
      <w:pPr>
        <w:spacing w:before="120" w:after="120"/>
        <w:jc w:val="both"/>
        <w:rPr>
          <w:b/>
          <w:smallCaps/>
          <w:color w:val="004071"/>
          <w:sz w:val="28"/>
          <w:szCs w:val="28"/>
          <w:lang w:eastAsia="en-GB"/>
        </w:rPr>
      </w:pPr>
      <w:r w:rsidRPr="00E034E9">
        <w:rPr>
          <w:b/>
          <w:smallCaps/>
          <w:color w:val="004071"/>
          <w:sz w:val="28"/>
          <w:szCs w:val="28"/>
          <w:lang w:eastAsia="en-GB"/>
        </w:rPr>
        <w:t>Assessment and Selection</w:t>
      </w:r>
    </w:p>
    <w:p w14:paraId="39C2DF6E" w14:textId="77777777" w:rsidR="00830656" w:rsidRPr="00E034E9" w:rsidRDefault="00830656" w:rsidP="00E034E9">
      <w:pPr>
        <w:spacing w:before="120" w:after="120"/>
        <w:jc w:val="both"/>
        <w:rPr>
          <w:lang w:eastAsia="en-GB"/>
        </w:rPr>
      </w:pPr>
    </w:p>
    <w:p w14:paraId="65892B02" w14:textId="0469943B" w:rsidR="00830656" w:rsidRPr="00E034E9" w:rsidRDefault="00830656" w:rsidP="00E034E9">
      <w:pPr>
        <w:spacing w:before="120" w:after="120"/>
        <w:jc w:val="both"/>
        <w:rPr>
          <w:lang w:eastAsia="en-GB"/>
        </w:rPr>
      </w:pPr>
      <w:r w:rsidRPr="00E034E9">
        <w:rPr>
          <w:lang w:eastAsia="en-GB"/>
        </w:rPr>
        <w:t>During an interview, questions will not be asked which are either directly or indirectly discriminatory</w:t>
      </w:r>
      <w:r w:rsidR="00E034E9">
        <w:rPr>
          <w:lang w:eastAsia="en-GB"/>
        </w:rPr>
        <w:t xml:space="preserve"> </w:t>
      </w:r>
      <w:r w:rsidRPr="00E034E9">
        <w:rPr>
          <w:lang w:eastAsia="en-GB"/>
        </w:rPr>
        <w:t>and will only be questions which are directly relevant to the role in question.</w:t>
      </w:r>
    </w:p>
    <w:p w14:paraId="5A43E961" w14:textId="77777777" w:rsidR="00830656" w:rsidRPr="00E034E9" w:rsidRDefault="00830656" w:rsidP="00E034E9">
      <w:pPr>
        <w:spacing w:before="120" w:after="120"/>
        <w:jc w:val="both"/>
        <w:rPr>
          <w:lang w:eastAsia="en-GB"/>
        </w:rPr>
      </w:pPr>
      <w:r w:rsidRPr="00E034E9">
        <w:rPr>
          <w:lang w:eastAsia="en-GB"/>
        </w:rPr>
        <w:t>As a rule, the recruiting person will avoid questions about personal circumstances unless this is justifiable because of a particular job need (e.g. shift working, call-out, long periods of travel away from home, or the needs of a disabled applicant)</w:t>
      </w:r>
    </w:p>
    <w:p w14:paraId="618F7075" w14:textId="77777777" w:rsidR="00830656" w:rsidRPr="00E034E9" w:rsidRDefault="00830656" w:rsidP="00E034E9">
      <w:pPr>
        <w:spacing w:before="120" w:after="120"/>
        <w:jc w:val="both"/>
        <w:rPr>
          <w:lang w:eastAsia="en-GB"/>
        </w:rPr>
      </w:pPr>
      <w:r w:rsidRPr="00E034E9">
        <w:rPr>
          <w:lang w:eastAsia="en-GB"/>
        </w:rPr>
        <w:t>The recruiting person will keep a copy of the assessment notes from the interview so the organisation can meet its legal obligations in terms of keeping the information for the required amount of time.</w:t>
      </w:r>
    </w:p>
    <w:p w14:paraId="56DA206E" w14:textId="77777777" w:rsidR="00830656" w:rsidRPr="00E034E9" w:rsidRDefault="00830656" w:rsidP="00E034E9">
      <w:pPr>
        <w:spacing w:before="120" w:after="120"/>
        <w:jc w:val="both"/>
        <w:rPr>
          <w:b/>
          <w:lang w:eastAsia="en-GB"/>
        </w:rPr>
      </w:pPr>
    </w:p>
    <w:p w14:paraId="69F5AF69" w14:textId="61684072" w:rsidR="00830656" w:rsidRPr="00E034E9" w:rsidRDefault="00830656" w:rsidP="00E034E9">
      <w:pPr>
        <w:spacing w:before="120" w:after="120"/>
        <w:jc w:val="both"/>
        <w:rPr>
          <w:b/>
          <w:smallCaps/>
          <w:color w:val="004071"/>
          <w:sz w:val="28"/>
          <w:szCs w:val="28"/>
          <w:lang w:eastAsia="en-GB"/>
        </w:rPr>
      </w:pPr>
      <w:r w:rsidRPr="00E034E9">
        <w:rPr>
          <w:b/>
          <w:smallCaps/>
          <w:color w:val="004071"/>
          <w:sz w:val="28"/>
          <w:szCs w:val="28"/>
          <w:lang w:eastAsia="en-GB"/>
        </w:rPr>
        <w:t>Promotion, Transfer and Career Development</w:t>
      </w:r>
    </w:p>
    <w:p w14:paraId="5ADCD9E9" w14:textId="777D4B46" w:rsidR="00830656" w:rsidRPr="00E034E9" w:rsidRDefault="00830656" w:rsidP="00E034E9">
      <w:pPr>
        <w:spacing w:before="120" w:after="120"/>
        <w:jc w:val="both"/>
        <w:rPr>
          <w:lang w:eastAsia="en-GB"/>
        </w:rPr>
      </w:pPr>
      <w:r w:rsidRPr="00E034E9">
        <w:rPr>
          <w:lang w:eastAsia="en-GB"/>
        </w:rPr>
        <w:t>The IAC will not treat any employee less favourably, for any reason in the Equal Opportunity list by denying them promotion or training by applying unnecessary criteria which disadvantages or prevents them from applying because they cannot meet the criteria.</w:t>
      </w:r>
    </w:p>
    <w:p w14:paraId="60FB6FE0" w14:textId="1CBDB1EB" w:rsidR="00830656" w:rsidRPr="00E034E9" w:rsidRDefault="00830656" w:rsidP="00E034E9">
      <w:pPr>
        <w:spacing w:before="120" w:after="120"/>
        <w:jc w:val="both"/>
        <w:rPr>
          <w:lang w:eastAsia="en-GB"/>
        </w:rPr>
      </w:pPr>
      <w:r w:rsidRPr="00E034E9">
        <w:rPr>
          <w:lang w:eastAsia="en-GB"/>
        </w:rPr>
        <w:t>If an employee / associate is on maternity leave she will be given the same rights to promotion and career development opportunities as her male counterpart. The IAC will ensure that the appropriate consideration is given to employees / associates who are taking / have taken parental leave, when deciding on promotion or career development opportunities.  Similarly, if an employee / associate has a disability, he/she will not be placed at a disadvantage with regard to training and promotion opportunities.</w:t>
      </w:r>
    </w:p>
    <w:p w14:paraId="797B4FC2" w14:textId="345F5705" w:rsidR="00830656" w:rsidRPr="00E034E9" w:rsidRDefault="00830656" w:rsidP="00E034E9">
      <w:pPr>
        <w:spacing w:before="120" w:after="120"/>
        <w:jc w:val="both"/>
        <w:rPr>
          <w:lang w:eastAsia="en-GB"/>
        </w:rPr>
      </w:pPr>
      <w:r w:rsidRPr="00E034E9">
        <w:rPr>
          <w:lang w:eastAsia="en-GB"/>
        </w:rPr>
        <w:t>An employee / associate will not be excluded from training and development opportunities simply because he/she works part-time.</w:t>
      </w:r>
    </w:p>
    <w:p w14:paraId="0AAFB306" w14:textId="77777777" w:rsidR="00830656" w:rsidRPr="00E034E9" w:rsidRDefault="00830656" w:rsidP="00E034E9">
      <w:pPr>
        <w:spacing w:before="120" w:after="120"/>
        <w:jc w:val="both"/>
        <w:rPr>
          <w:lang w:eastAsia="en-GB"/>
        </w:rPr>
      </w:pPr>
      <w:r w:rsidRPr="00E034E9">
        <w:rPr>
          <w:lang w:eastAsia="en-GB"/>
        </w:rPr>
        <w:t>Non-attendance relating to disability or pregnancy-related sickness will be disregarded with regard to promotions and development decisions.</w:t>
      </w:r>
    </w:p>
    <w:p w14:paraId="1173B63D" w14:textId="77777777" w:rsidR="00830656" w:rsidRPr="00E034E9" w:rsidRDefault="00830656" w:rsidP="00E034E9">
      <w:pPr>
        <w:spacing w:before="120" w:after="120"/>
        <w:jc w:val="both"/>
        <w:rPr>
          <w:lang w:eastAsia="en-GB"/>
        </w:rPr>
      </w:pPr>
    </w:p>
    <w:p w14:paraId="1BC8D94B" w14:textId="489A1BB4" w:rsidR="00830656" w:rsidRPr="00E034E9" w:rsidRDefault="00830656" w:rsidP="00E034E9">
      <w:pPr>
        <w:spacing w:before="120" w:after="120"/>
        <w:jc w:val="both"/>
        <w:rPr>
          <w:b/>
          <w:smallCaps/>
          <w:color w:val="004071"/>
          <w:sz w:val="28"/>
          <w:szCs w:val="28"/>
          <w:lang w:eastAsia="en-GB"/>
        </w:rPr>
      </w:pPr>
      <w:r w:rsidRPr="00E034E9">
        <w:rPr>
          <w:b/>
          <w:smallCaps/>
          <w:color w:val="004071"/>
          <w:sz w:val="28"/>
          <w:szCs w:val="28"/>
          <w:lang w:eastAsia="en-GB"/>
        </w:rPr>
        <w:t>Redundancy</w:t>
      </w:r>
    </w:p>
    <w:p w14:paraId="0344D948" w14:textId="77777777" w:rsidR="00830656" w:rsidRPr="00E034E9" w:rsidRDefault="00830656" w:rsidP="00E034E9">
      <w:pPr>
        <w:spacing w:before="120" w:after="120"/>
        <w:jc w:val="both"/>
        <w:rPr>
          <w:lang w:eastAsia="en-GB"/>
        </w:rPr>
      </w:pPr>
      <w:r w:rsidRPr="00E034E9">
        <w:rPr>
          <w:lang w:eastAsia="en-GB"/>
        </w:rPr>
        <w:t>The IAC will observe the Equal Opportunity and Diversity policy with regard to any redundancy selection criteria. Where attendance is listed as one of the selection criteria, non-attendance relating to disability or pregnancy related sickness will be disregarded.</w:t>
      </w:r>
    </w:p>
    <w:p w14:paraId="03505A21" w14:textId="77777777" w:rsidR="00830656" w:rsidRPr="00E034E9" w:rsidRDefault="00830656" w:rsidP="00E034E9">
      <w:pPr>
        <w:spacing w:before="120" w:after="120"/>
        <w:jc w:val="both"/>
        <w:rPr>
          <w:lang w:eastAsia="en-GB"/>
        </w:rPr>
      </w:pPr>
    </w:p>
    <w:p w14:paraId="21467C23" w14:textId="5B25ADC4" w:rsidR="00830656" w:rsidRPr="00E034E9" w:rsidRDefault="00830656" w:rsidP="00E034E9">
      <w:pPr>
        <w:spacing w:before="120" w:after="120"/>
        <w:jc w:val="both"/>
        <w:rPr>
          <w:b/>
          <w:smallCaps/>
          <w:color w:val="004071"/>
          <w:sz w:val="28"/>
          <w:szCs w:val="28"/>
          <w:lang w:eastAsia="en-GB"/>
        </w:rPr>
      </w:pPr>
      <w:r w:rsidRPr="00E034E9">
        <w:rPr>
          <w:b/>
          <w:smallCaps/>
          <w:color w:val="004071"/>
          <w:sz w:val="28"/>
          <w:szCs w:val="28"/>
          <w:lang w:eastAsia="en-GB"/>
        </w:rPr>
        <w:lastRenderedPageBreak/>
        <w:t>Part-Time</w:t>
      </w:r>
    </w:p>
    <w:p w14:paraId="28150755" w14:textId="77777777" w:rsidR="00830656" w:rsidRPr="00E034E9" w:rsidRDefault="00830656" w:rsidP="00E034E9">
      <w:pPr>
        <w:spacing w:before="120" w:after="120"/>
        <w:jc w:val="both"/>
        <w:rPr>
          <w:lang w:eastAsia="en-GB"/>
        </w:rPr>
      </w:pPr>
      <w:r w:rsidRPr="00E034E9">
        <w:rPr>
          <w:lang w:eastAsia="en-GB"/>
        </w:rPr>
        <w:t xml:space="preserve">If an employee / associate works part-time, he/she will be treated in the same way as their full-time colleagues with regard to promotion and training opportunities. He/she will be entitled to the same benefits as full time employees on a pro-rata basis. Overtime payments, where applicable, will be paid only after the normal full-time contractual hours have been worked. </w:t>
      </w:r>
      <w:bookmarkStart w:id="0" w:name="_Hlk12703895"/>
      <w:r w:rsidRPr="00E034E9">
        <w:rPr>
          <w:lang w:eastAsia="en-GB"/>
        </w:rPr>
        <w:t>Associates will be paid as per the agreed and signed minor services agreement</w:t>
      </w:r>
    </w:p>
    <w:bookmarkEnd w:id="0"/>
    <w:p w14:paraId="49C71FB2" w14:textId="77777777" w:rsidR="00830656" w:rsidRPr="00E034E9" w:rsidRDefault="00830656" w:rsidP="00E034E9">
      <w:pPr>
        <w:spacing w:before="120" w:after="120"/>
        <w:jc w:val="both"/>
        <w:rPr>
          <w:lang w:eastAsia="en-GB"/>
        </w:rPr>
      </w:pPr>
    </w:p>
    <w:p w14:paraId="65EDB34B" w14:textId="4F882F30" w:rsidR="00830656" w:rsidRPr="00E034E9" w:rsidRDefault="00830656" w:rsidP="00E034E9">
      <w:pPr>
        <w:spacing w:before="120" w:after="120"/>
        <w:jc w:val="both"/>
        <w:rPr>
          <w:b/>
          <w:smallCaps/>
          <w:color w:val="004071"/>
          <w:sz w:val="28"/>
          <w:szCs w:val="28"/>
          <w:lang w:eastAsia="en-GB"/>
        </w:rPr>
      </w:pPr>
      <w:r w:rsidRPr="00E034E9">
        <w:rPr>
          <w:b/>
          <w:smallCaps/>
          <w:color w:val="004071"/>
          <w:sz w:val="28"/>
          <w:szCs w:val="28"/>
          <w:lang w:eastAsia="en-GB"/>
        </w:rPr>
        <w:t>Equal Pay</w:t>
      </w:r>
    </w:p>
    <w:p w14:paraId="6B042EDE" w14:textId="77777777" w:rsidR="00830656" w:rsidRPr="00E034E9" w:rsidRDefault="00830656" w:rsidP="00E034E9">
      <w:pPr>
        <w:spacing w:before="120" w:after="120"/>
        <w:jc w:val="both"/>
        <w:rPr>
          <w:lang w:eastAsia="en-GB"/>
        </w:rPr>
      </w:pPr>
      <w:r w:rsidRPr="00E034E9">
        <w:rPr>
          <w:lang w:eastAsia="en-GB"/>
        </w:rPr>
        <w:t>The IAC will ensure that a consistent approach is applied to remuneration for men and women and will make amendments where any inequalities are found. Where applicable, the IAC will participate in appropriate benchmarking to ensure that it applies the correct pay for the job regardless of any reason in the Equal Opportunity list. Associates will be paid as per the agreed and signed minor services agreement</w:t>
      </w:r>
    </w:p>
    <w:p w14:paraId="1A86E6B3" w14:textId="77777777" w:rsidR="00830656" w:rsidRPr="00E034E9" w:rsidRDefault="00830656" w:rsidP="00E034E9">
      <w:pPr>
        <w:spacing w:before="120" w:after="120"/>
        <w:jc w:val="both"/>
        <w:rPr>
          <w:b/>
          <w:lang w:eastAsia="en-GB"/>
        </w:rPr>
      </w:pPr>
    </w:p>
    <w:p w14:paraId="5BB0EF31" w14:textId="36872F5C" w:rsidR="00830656" w:rsidRPr="00E034E9" w:rsidRDefault="00830656" w:rsidP="00E034E9">
      <w:pPr>
        <w:spacing w:before="120" w:after="120"/>
        <w:jc w:val="both"/>
        <w:rPr>
          <w:b/>
          <w:smallCaps/>
          <w:color w:val="004071"/>
          <w:sz w:val="28"/>
          <w:szCs w:val="28"/>
          <w:lang w:eastAsia="en-GB"/>
        </w:rPr>
      </w:pPr>
      <w:r w:rsidRPr="00E034E9">
        <w:rPr>
          <w:b/>
          <w:smallCaps/>
          <w:color w:val="004071"/>
          <w:sz w:val="28"/>
          <w:szCs w:val="28"/>
          <w:lang w:eastAsia="en-GB"/>
        </w:rPr>
        <w:t>Age Discrimination</w:t>
      </w:r>
    </w:p>
    <w:p w14:paraId="2DD4FF19" w14:textId="77777777" w:rsidR="00830656" w:rsidRPr="00E034E9" w:rsidRDefault="00830656" w:rsidP="00E034E9">
      <w:pPr>
        <w:spacing w:before="120" w:after="120"/>
        <w:jc w:val="both"/>
        <w:rPr>
          <w:lang w:eastAsia="en-GB"/>
        </w:rPr>
      </w:pPr>
      <w:r w:rsidRPr="00E034E9">
        <w:rPr>
          <w:lang w:eastAsia="en-GB"/>
        </w:rPr>
        <w:t>The IAC will not apply age criteria to positions and will encourage fair consideration to all applicants, regardless of age, role profiles, and advertisements will not contain references to age.</w:t>
      </w:r>
    </w:p>
    <w:p w14:paraId="5F4B22D2" w14:textId="77777777" w:rsidR="00830656" w:rsidRPr="00E034E9" w:rsidRDefault="00830656" w:rsidP="00E034E9">
      <w:pPr>
        <w:spacing w:before="120" w:after="120"/>
        <w:jc w:val="both"/>
        <w:rPr>
          <w:lang w:eastAsia="en-GB"/>
        </w:rPr>
      </w:pPr>
    </w:p>
    <w:p w14:paraId="361343CD" w14:textId="7B30BDFA" w:rsidR="00830656" w:rsidRPr="00E034E9" w:rsidRDefault="00830656" w:rsidP="00E034E9">
      <w:pPr>
        <w:spacing w:before="120" w:after="120"/>
        <w:jc w:val="both"/>
        <w:rPr>
          <w:b/>
          <w:smallCaps/>
          <w:color w:val="004071"/>
          <w:sz w:val="28"/>
          <w:szCs w:val="28"/>
          <w:lang w:eastAsia="en-GB"/>
        </w:rPr>
      </w:pPr>
      <w:r w:rsidRPr="00E034E9">
        <w:rPr>
          <w:b/>
          <w:smallCaps/>
          <w:color w:val="004071"/>
          <w:sz w:val="28"/>
          <w:szCs w:val="28"/>
          <w:lang w:eastAsia="en-GB"/>
        </w:rPr>
        <w:t>Discipline</w:t>
      </w:r>
    </w:p>
    <w:p w14:paraId="1C1CD349" w14:textId="77777777" w:rsidR="00830656" w:rsidRPr="00E034E9" w:rsidRDefault="00830656" w:rsidP="00E034E9">
      <w:pPr>
        <w:spacing w:before="120" w:after="120"/>
        <w:jc w:val="both"/>
        <w:rPr>
          <w:lang w:eastAsia="en-GB"/>
        </w:rPr>
      </w:pPr>
      <w:r w:rsidRPr="00E034E9">
        <w:rPr>
          <w:lang w:eastAsia="en-GB"/>
        </w:rPr>
        <w:t>If an employee / associate harasses, bullies, victimises, or discriminates against another employee / associate, customer or supplier then he/she may be subject to investigation, which may result in disciplinary action. In serious cases of harassment, discrimination or abuse, such behaviour will be deemed to constitute gross misconduct and may result in immediate suspension and or summary dismissal.</w:t>
      </w:r>
    </w:p>
    <w:p w14:paraId="3C502E8D" w14:textId="77777777" w:rsidR="00830656" w:rsidRPr="00E034E9" w:rsidRDefault="00830656" w:rsidP="00E034E9">
      <w:pPr>
        <w:spacing w:before="120" w:after="120"/>
        <w:jc w:val="both"/>
        <w:rPr>
          <w:lang w:eastAsia="en-GB"/>
        </w:rPr>
      </w:pPr>
    </w:p>
    <w:p w14:paraId="5E65DD92" w14:textId="17F50CB2" w:rsidR="00830656" w:rsidRPr="00E034E9" w:rsidRDefault="00830656" w:rsidP="00E034E9">
      <w:pPr>
        <w:spacing w:before="120" w:after="120"/>
        <w:jc w:val="both"/>
        <w:rPr>
          <w:b/>
          <w:smallCaps/>
          <w:color w:val="004071"/>
          <w:sz w:val="28"/>
          <w:szCs w:val="28"/>
          <w:lang w:eastAsia="en-GB"/>
        </w:rPr>
      </w:pPr>
      <w:r w:rsidRPr="00E034E9">
        <w:rPr>
          <w:b/>
          <w:smallCaps/>
          <w:color w:val="004071"/>
          <w:sz w:val="28"/>
          <w:szCs w:val="28"/>
          <w:lang w:eastAsia="en-GB"/>
        </w:rPr>
        <w:t>Protection Against Detriment</w:t>
      </w:r>
    </w:p>
    <w:p w14:paraId="584E6993" w14:textId="7D7547A9" w:rsidR="00830656" w:rsidRPr="00E034E9" w:rsidRDefault="00830656" w:rsidP="00E034E9">
      <w:pPr>
        <w:spacing w:before="120" w:after="120"/>
        <w:jc w:val="both"/>
        <w:rPr>
          <w:lang w:eastAsia="en-GB"/>
        </w:rPr>
      </w:pPr>
      <w:r w:rsidRPr="00E034E9">
        <w:rPr>
          <w:lang w:eastAsia="en-GB"/>
        </w:rPr>
        <w:t xml:space="preserve">An employee / associate will not suffer any detriment as a result of lodging, or assisting in the investigation of, a complaint under this policy. </w:t>
      </w:r>
    </w:p>
    <w:p w14:paraId="36C6ECF8" w14:textId="74C3707F" w:rsidR="00830656" w:rsidRDefault="00830656" w:rsidP="00E034E9">
      <w:pPr>
        <w:spacing w:before="120" w:after="120"/>
        <w:jc w:val="both"/>
        <w:rPr>
          <w:lang w:eastAsia="en-GB"/>
        </w:rPr>
      </w:pPr>
      <w:r w:rsidRPr="00E034E9">
        <w:rPr>
          <w:lang w:eastAsia="en-GB"/>
        </w:rPr>
        <w:t>Retaliation resulting from a complaint being made may be regarded as Gross Misconduct. However, disciplinary action may be taken against an unjustified malicious or vexatious claim and may result in summary dismissa</w:t>
      </w:r>
      <w:r w:rsidR="00E034E9">
        <w:rPr>
          <w:lang w:eastAsia="en-GB"/>
        </w:rPr>
        <w:t>l</w:t>
      </w:r>
    </w:p>
    <w:p w14:paraId="7F88A3A1" w14:textId="77777777" w:rsidR="00E034E9" w:rsidRDefault="00E034E9" w:rsidP="00E034E9">
      <w:pPr>
        <w:spacing w:before="120" w:after="120"/>
        <w:jc w:val="both"/>
        <w:rPr>
          <w:b/>
          <w:smallCaps/>
          <w:color w:val="004071"/>
          <w:sz w:val="28"/>
          <w:szCs w:val="28"/>
          <w:lang w:eastAsia="en-GB"/>
        </w:rPr>
      </w:pPr>
    </w:p>
    <w:p w14:paraId="087DB4D9" w14:textId="3CAE232F" w:rsidR="00830656" w:rsidRPr="00E034E9" w:rsidRDefault="00830656" w:rsidP="00E034E9">
      <w:pPr>
        <w:spacing w:before="120" w:after="120"/>
        <w:jc w:val="both"/>
        <w:rPr>
          <w:b/>
          <w:smallCaps/>
          <w:color w:val="004071"/>
          <w:sz w:val="28"/>
          <w:szCs w:val="28"/>
          <w:lang w:eastAsia="en-GB"/>
        </w:rPr>
      </w:pPr>
      <w:r w:rsidRPr="00E034E9">
        <w:rPr>
          <w:b/>
          <w:smallCaps/>
          <w:color w:val="004071"/>
          <w:sz w:val="28"/>
          <w:szCs w:val="28"/>
          <w:lang w:eastAsia="en-GB"/>
        </w:rPr>
        <w:t>Responsibilities</w:t>
      </w:r>
    </w:p>
    <w:p w14:paraId="2F9AA735" w14:textId="1335DE4C" w:rsidR="00830656" w:rsidRPr="00E034E9" w:rsidRDefault="00830656" w:rsidP="00E034E9">
      <w:pPr>
        <w:pStyle w:val="ListParagraph"/>
        <w:numPr>
          <w:ilvl w:val="0"/>
          <w:numId w:val="33"/>
        </w:numPr>
        <w:spacing w:before="120" w:after="120"/>
        <w:jc w:val="both"/>
        <w:rPr>
          <w:lang w:eastAsia="en-GB"/>
        </w:rPr>
      </w:pPr>
      <w:r w:rsidRPr="00E034E9">
        <w:rPr>
          <w:b/>
          <w:smallCaps/>
          <w:color w:val="004071"/>
          <w:lang w:eastAsia="en-GB"/>
        </w:rPr>
        <w:t>Responsibilities of Management</w:t>
      </w:r>
      <w:r w:rsidR="00E034E9" w:rsidRPr="00E034E9">
        <w:rPr>
          <w:b/>
          <w:smallCaps/>
          <w:color w:val="004071"/>
          <w:lang w:eastAsia="en-GB"/>
        </w:rPr>
        <w:t xml:space="preserve"> </w:t>
      </w:r>
      <w:r w:rsidR="00E034E9" w:rsidRPr="00E034E9">
        <w:rPr>
          <w:b/>
          <w:smallCaps/>
          <w:lang w:eastAsia="en-GB"/>
        </w:rPr>
        <w:t xml:space="preserve">- </w:t>
      </w:r>
      <w:r w:rsidRPr="00E034E9">
        <w:rPr>
          <w:lang w:eastAsia="en-GB"/>
        </w:rPr>
        <w:t>The IAC Management (including directors) is responsible for ensuring that employees / associates have understood the need to follow, and adhere to, the company’s policy on equal opportunities.</w:t>
      </w:r>
    </w:p>
    <w:p w14:paraId="747447A7" w14:textId="071A9989" w:rsidR="00830656" w:rsidRPr="00E034E9" w:rsidRDefault="00830656" w:rsidP="00E034E9">
      <w:pPr>
        <w:pStyle w:val="ListParagraph"/>
        <w:numPr>
          <w:ilvl w:val="0"/>
          <w:numId w:val="33"/>
        </w:numPr>
        <w:spacing w:before="120" w:after="120"/>
        <w:jc w:val="both"/>
        <w:rPr>
          <w:lang w:eastAsia="en-GB"/>
        </w:rPr>
      </w:pPr>
      <w:r w:rsidRPr="00E034E9">
        <w:rPr>
          <w:b/>
          <w:smallCaps/>
          <w:color w:val="004071"/>
          <w:lang w:eastAsia="en-GB"/>
        </w:rPr>
        <w:t>Responsibilities of Employees</w:t>
      </w:r>
      <w:r w:rsidR="00E034E9" w:rsidRPr="00E034E9">
        <w:rPr>
          <w:b/>
          <w:smallCaps/>
          <w:color w:val="004071"/>
          <w:lang w:eastAsia="en-GB"/>
        </w:rPr>
        <w:t xml:space="preserve"> </w:t>
      </w:r>
      <w:r w:rsidR="00E034E9" w:rsidRPr="00E034E9">
        <w:rPr>
          <w:b/>
          <w:smallCaps/>
          <w:lang w:eastAsia="en-GB"/>
        </w:rPr>
        <w:t xml:space="preserve">- </w:t>
      </w:r>
      <w:r w:rsidRPr="00E034E9">
        <w:rPr>
          <w:lang w:eastAsia="en-GB"/>
        </w:rPr>
        <w:t>While the IAC is responsible for the adoption, implementation and monitoring of related policies, the employee / associate holds the responsibility of ensuring discrimination does not occur.</w:t>
      </w:r>
      <w:r w:rsidR="00E034E9">
        <w:rPr>
          <w:lang w:eastAsia="en-GB"/>
        </w:rPr>
        <w:t xml:space="preserve"> </w:t>
      </w:r>
      <w:r w:rsidRPr="00E034E9">
        <w:rPr>
          <w:lang w:eastAsia="en-GB"/>
        </w:rPr>
        <w:t>It is the employee / associate’s obligation to comply with the Equal Opportunity and Diversity policy. They have a duty of care to treat each other with respect and dignity particularly in relation to sex, race, disability and age as defined above.</w:t>
      </w:r>
    </w:p>
    <w:p w14:paraId="2BEDBE04" w14:textId="77777777" w:rsidR="00830656" w:rsidRPr="00E034E9" w:rsidRDefault="00830656" w:rsidP="00E034E9">
      <w:pPr>
        <w:spacing w:before="120" w:after="120"/>
        <w:jc w:val="both"/>
        <w:rPr>
          <w:lang w:eastAsia="en-GB"/>
        </w:rPr>
      </w:pPr>
    </w:p>
    <w:p w14:paraId="5A9F6C1A" w14:textId="31D50E35" w:rsidR="00830656" w:rsidRPr="00E034E9" w:rsidRDefault="00830656" w:rsidP="00E034E9">
      <w:pPr>
        <w:spacing w:before="120" w:after="120"/>
        <w:jc w:val="both"/>
        <w:rPr>
          <w:lang w:eastAsia="en-GB"/>
        </w:rPr>
      </w:pPr>
      <w:r w:rsidRPr="00E034E9">
        <w:rPr>
          <w:lang w:eastAsia="en-GB"/>
        </w:rPr>
        <w:t xml:space="preserve">If employees / associates witness conduct which breaches the Equal Opportunities </w:t>
      </w:r>
      <w:r w:rsidR="00E034E9">
        <w:rPr>
          <w:lang w:eastAsia="en-GB"/>
        </w:rPr>
        <w:t>P</w:t>
      </w:r>
      <w:r w:rsidRPr="00E034E9">
        <w:rPr>
          <w:lang w:eastAsia="en-GB"/>
        </w:rPr>
        <w:t>olicy it is their responsibility to report this to management or IAC directors.</w:t>
      </w:r>
    </w:p>
    <w:p w14:paraId="31031AAE" w14:textId="77777777" w:rsidR="00830656" w:rsidRPr="00E034E9" w:rsidRDefault="00830656" w:rsidP="00E034E9">
      <w:pPr>
        <w:spacing w:before="120" w:after="120"/>
        <w:jc w:val="both"/>
        <w:rPr>
          <w:lang w:eastAsia="en-GB"/>
        </w:rPr>
      </w:pPr>
    </w:p>
    <w:p w14:paraId="0E9F70FD" w14:textId="77777777" w:rsidR="00830656" w:rsidRPr="00E034E9" w:rsidRDefault="00830656" w:rsidP="00E034E9">
      <w:pPr>
        <w:spacing w:before="120" w:after="120"/>
      </w:pPr>
      <w:r w:rsidRPr="00E034E9">
        <w:t>P Wicks</w:t>
      </w:r>
    </w:p>
    <w:p w14:paraId="15BE53E8" w14:textId="77777777" w:rsidR="00830656" w:rsidRPr="00E034E9" w:rsidRDefault="00830656" w:rsidP="00E034E9">
      <w:pPr>
        <w:spacing w:before="120" w:after="120"/>
      </w:pPr>
      <w:r w:rsidRPr="00E034E9">
        <w:t>IAC Director</w:t>
      </w:r>
    </w:p>
    <w:p w14:paraId="3D8BBF67" w14:textId="77777777" w:rsidR="001A2636" w:rsidRPr="00E034E9" w:rsidRDefault="001A2636" w:rsidP="00E034E9">
      <w:pPr>
        <w:widowControl w:val="0"/>
        <w:autoSpaceDE w:val="0"/>
        <w:autoSpaceDN w:val="0"/>
        <w:adjustRightInd w:val="0"/>
        <w:spacing w:before="120" w:after="120"/>
        <w:jc w:val="both"/>
      </w:pPr>
    </w:p>
    <w:sectPr w:rsidR="001A2636" w:rsidRPr="00E034E9" w:rsidSect="00E034E9">
      <w:headerReference w:type="even" r:id="rId7"/>
      <w:headerReference w:type="default" r:id="rId8"/>
      <w:footerReference w:type="even" r:id="rId9"/>
      <w:footerReference w:type="default" r:id="rId10"/>
      <w:headerReference w:type="first" r:id="rId11"/>
      <w:footerReference w:type="first" r:id="rId12"/>
      <w:pgSz w:w="11907" w:h="16840" w:code="9"/>
      <w:pgMar w:top="1783" w:right="1134" w:bottom="1640" w:left="1134"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ED8F5" w14:textId="77777777" w:rsidR="007E09AB" w:rsidRDefault="007E09AB">
      <w:r>
        <w:separator/>
      </w:r>
    </w:p>
  </w:endnote>
  <w:endnote w:type="continuationSeparator" w:id="0">
    <w:p w14:paraId="4A6FD3BE" w14:textId="77777777" w:rsidR="007E09AB" w:rsidRDefault="007E0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A93F" w14:textId="77777777" w:rsidR="009607EE" w:rsidRDefault="009607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8F0F8" w14:textId="21B11080" w:rsidR="00027078" w:rsidRPr="002A41D8" w:rsidRDefault="002A41D8" w:rsidP="00BC1E13">
    <w:pPr>
      <w:pStyle w:val="Footer"/>
      <w:rPr>
        <w:sz w:val="18"/>
        <w:szCs w:val="18"/>
      </w:rPr>
    </w:pPr>
    <w:bookmarkStart w:id="1" w:name="_GoBack"/>
    <w:r w:rsidRPr="002A41D8">
      <w:rPr>
        <w:sz w:val="18"/>
        <w:szCs w:val="18"/>
      </w:rPr>
      <w:t xml:space="preserve">IAC </w:t>
    </w:r>
    <w:r w:rsidR="009607EE">
      <w:rPr>
        <w:sz w:val="18"/>
        <w:szCs w:val="18"/>
      </w:rPr>
      <w:t xml:space="preserve">Equality and Diversity </w:t>
    </w:r>
    <w:r w:rsidRPr="002A41D8">
      <w:rPr>
        <w:sz w:val="18"/>
        <w:szCs w:val="18"/>
      </w:rPr>
      <w:t>Policy</w:t>
    </w:r>
    <w:r w:rsidR="00BC1E13" w:rsidRPr="002A41D8">
      <w:rPr>
        <w:sz w:val="18"/>
        <w:szCs w:val="18"/>
      </w:rPr>
      <w:tab/>
    </w:r>
    <w:r w:rsidR="00BC1E13" w:rsidRPr="002A41D8">
      <w:rPr>
        <w:sz w:val="18"/>
        <w:szCs w:val="18"/>
      </w:rPr>
      <w:tab/>
      <w:t xml:space="preserve">Page </w:t>
    </w:r>
    <w:sdt>
      <w:sdtPr>
        <w:rPr>
          <w:sz w:val="18"/>
          <w:szCs w:val="18"/>
        </w:rPr>
        <w:id w:val="649490999"/>
        <w:docPartObj>
          <w:docPartGallery w:val="Page Numbers (Bottom of Page)"/>
          <w:docPartUnique/>
        </w:docPartObj>
      </w:sdtPr>
      <w:sdtEndPr>
        <w:rPr>
          <w:noProof/>
        </w:rPr>
      </w:sdtEndPr>
      <w:sdtContent>
        <w:r w:rsidR="00BC1E13" w:rsidRPr="002A41D8">
          <w:rPr>
            <w:sz w:val="18"/>
            <w:szCs w:val="18"/>
          </w:rPr>
          <w:fldChar w:fldCharType="begin"/>
        </w:r>
        <w:r w:rsidR="00BC1E13" w:rsidRPr="002A41D8">
          <w:rPr>
            <w:sz w:val="18"/>
            <w:szCs w:val="18"/>
          </w:rPr>
          <w:instrText xml:space="preserve"> PAGE   \* MERGEFORMAT </w:instrText>
        </w:r>
        <w:r w:rsidR="00BC1E13" w:rsidRPr="002A41D8">
          <w:rPr>
            <w:sz w:val="18"/>
            <w:szCs w:val="18"/>
          </w:rPr>
          <w:fldChar w:fldCharType="separate"/>
        </w:r>
        <w:r w:rsidR="00BC1E13" w:rsidRPr="002A41D8">
          <w:rPr>
            <w:sz w:val="18"/>
            <w:szCs w:val="18"/>
          </w:rPr>
          <w:t>6</w:t>
        </w:r>
        <w:r w:rsidR="00BC1E13" w:rsidRPr="002A41D8">
          <w:rPr>
            <w:noProof/>
            <w:sz w:val="18"/>
            <w:szCs w:val="18"/>
          </w:rPr>
          <w:fldChar w:fldCharType="end"/>
        </w:r>
        <w:r w:rsidR="00BC1E13" w:rsidRPr="002A41D8">
          <w:rPr>
            <w:noProof/>
            <w:sz w:val="18"/>
            <w:szCs w:val="18"/>
          </w:rPr>
          <w:t xml:space="preserve"> of 1</w:t>
        </w:r>
      </w:sdtContent>
    </w:sdt>
    <w:r w:rsidR="00BC1E13" w:rsidRPr="002A41D8">
      <w:rPr>
        <w:noProof/>
        <w:sz w:val="18"/>
        <w:szCs w:val="18"/>
      </w:rPr>
      <w:t xml:space="preserve">               (</w:t>
    </w:r>
    <w:r w:rsidR="00412EC1" w:rsidRPr="002A41D8">
      <w:rPr>
        <w:noProof/>
        <w:sz w:val="18"/>
        <w:szCs w:val="18"/>
      </w:rPr>
      <w:t>Last Review</w:t>
    </w:r>
    <w:r w:rsidR="00BC1E13" w:rsidRPr="002A41D8">
      <w:rPr>
        <w:noProof/>
        <w:sz w:val="18"/>
        <w:szCs w:val="18"/>
      </w:rPr>
      <w:t xml:space="preserve"> Date - March 2019)</w:t>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C9001" w14:textId="77777777" w:rsidR="009607EE" w:rsidRDefault="009607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128F0" w14:textId="77777777" w:rsidR="007E09AB" w:rsidRDefault="007E09AB">
      <w:r>
        <w:separator/>
      </w:r>
    </w:p>
  </w:footnote>
  <w:footnote w:type="continuationSeparator" w:id="0">
    <w:p w14:paraId="2DB2C238" w14:textId="77777777" w:rsidR="007E09AB" w:rsidRDefault="007E0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7BCF6" w14:textId="77777777" w:rsidR="009607EE" w:rsidRDefault="009607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5145D" w14:textId="580B01B9" w:rsidR="00AA5606" w:rsidRDefault="00AA5606">
    <w:pPr>
      <w:pStyle w:val="Header"/>
    </w:pPr>
    <w:r>
      <w:rPr>
        <w:noProof/>
      </w:rPr>
      <w:drawing>
        <wp:anchor distT="0" distB="0" distL="114300" distR="114300" simplePos="0" relativeHeight="251659264" behindDoc="0" locked="0" layoutInCell="1" allowOverlap="1" wp14:anchorId="394DF657" wp14:editId="1BFA9189">
          <wp:simplePos x="0" y="0"/>
          <wp:positionH relativeFrom="column">
            <wp:posOffset>5110661</wp:posOffset>
          </wp:positionH>
          <wp:positionV relativeFrom="paragraph">
            <wp:posOffset>-90170</wp:posOffset>
          </wp:positionV>
          <wp:extent cx="1141730" cy="762635"/>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730" cy="7626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F1DCA" w14:textId="77777777" w:rsidR="009607EE" w:rsidRDefault="009607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3AB6"/>
    <w:multiLevelType w:val="hybridMultilevel"/>
    <w:tmpl w:val="2A6021C4"/>
    <w:lvl w:ilvl="0" w:tplc="0D107336">
      <w:start w:val="1"/>
      <w:numFmt w:val="bullet"/>
      <w:lvlText w:val=""/>
      <w:lvlJc w:val="left"/>
      <w:pPr>
        <w:tabs>
          <w:tab w:val="num" w:pos="720"/>
        </w:tabs>
        <w:ind w:left="108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7311C8E"/>
    <w:multiLevelType w:val="hybridMultilevel"/>
    <w:tmpl w:val="2E723D3A"/>
    <w:lvl w:ilvl="0" w:tplc="AF26B580">
      <w:start w:val="1"/>
      <w:numFmt w:val="decimal"/>
      <w:lvlText w:val="%1."/>
      <w:lvlJc w:val="left"/>
      <w:pPr>
        <w:tabs>
          <w:tab w:val="num" w:pos="794"/>
        </w:tabs>
        <w:ind w:left="794" w:hanging="472"/>
      </w:pPr>
      <w:rPr>
        <w:rFonts w:hint="default"/>
      </w:rPr>
    </w:lvl>
    <w:lvl w:ilvl="1" w:tplc="B79669E6">
      <w:start w:val="1"/>
      <w:numFmt w:val="decimal"/>
      <w:lvlText w:val="%2."/>
      <w:lvlJc w:val="left"/>
      <w:pPr>
        <w:tabs>
          <w:tab w:val="num" w:pos="1507"/>
        </w:tabs>
        <w:ind w:left="1507" w:hanging="465"/>
      </w:pPr>
      <w:rPr>
        <w:rFonts w:hint="default"/>
      </w:rPr>
    </w:lvl>
    <w:lvl w:ilvl="2" w:tplc="0409001B">
      <w:start w:val="1"/>
      <w:numFmt w:val="lowerRoman"/>
      <w:lvlText w:val="%3."/>
      <w:lvlJc w:val="right"/>
      <w:pPr>
        <w:tabs>
          <w:tab w:val="num" w:pos="2122"/>
        </w:tabs>
        <w:ind w:left="2122" w:hanging="180"/>
      </w:pPr>
    </w:lvl>
    <w:lvl w:ilvl="3" w:tplc="0409000F">
      <w:start w:val="1"/>
      <w:numFmt w:val="decimal"/>
      <w:lvlText w:val="%4."/>
      <w:lvlJc w:val="left"/>
      <w:pPr>
        <w:tabs>
          <w:tab w:val="num" w:pos="2842"/>
        </w:tabs>
        <w:ind w:left="2842" w:hanging="360"/>
      </w:pPr>
    </w:lvl>
    <w:lvl w:ilvl="4" w:tplc="04090019">
      <w:start w:val="1"/>
      <w:numFmt w:val="lowerLetter"/>
      <w:lvlText w:val="%5."/>
      <w:lvlJc w:val="left"/>
      <w:pPr>
        <w:tabs>
          <w:tab w:val="num" w:pos="3562"/>
        </w:tabs>
        <w:ind w:left="3562" w:hanging="360"/>
      </w:pPr>
    </w:lvl>
    <w:lvl w:ilvl="5" w:tplc="0409001B">
      <w:start w:val="1"/>
      <w:numFmt w:val="lowerRoman"/>
      <w:lvlText w:val="%6."/>
      <w:lvlJc w:val="right"/>
      <w:pPr>
        <w:tabs>
          <w:tab w:val="num" w:pos="4282"/>
        </w:tabs>
        <w:ind w:left="4282" w:hanging="180"/>
      </w:pPr>
    </w:lvl>
    <w:lvl w:ilvl="6" w:tplc="0409000F">
      <w:start w:val="1"/>
      <w:numFmt w:val="decimal"/>
      <w:lvlText w:val="%7."/>
      <w:lvlJc w:val="left"/>
      <w:pPr>
        <w:tabs>
          <w:tab w:val="num" w:pos="5002"/>
        </w:tabs>
        <w:ind w:left="5002" w:hanging="360"/>
      </w:pPr>
    </w:lvl>
    <w:lvl w:ilvl="7" w:tplc="04090019">
      <w:start w:val="1"/>
      <w:numFmt w:val="lowerLetter"/>
      <w:lvlText w:val="%8."/>
      <w:lvlJc w:val="left"/>
      <w:pPr>
        <w:tabs>
          <w:tab w:val="num" w:pos="5722"/>
        </w:tabs>
        <w:ind w:left="5722" w:hanging="360"/>
      </w:pPr>
    </w:lvl>
    <w:lvl w:ilvl="8" w:tplc="0409001B">
      <w:start w:val="1"/>
      <w:numFmt w:val="lowerRoman"/>
      <w:lvlText w:val="%9."/>
      <w:lvlJc w:val="right"/>
      <w:pPr>
        <w:tabs>
          <w:tab w:val="num" w:pos="6442"/>
        </w:tabs>
        <w:ind w:left="6442" w:hanging="180"/>
      </w:pPr>
    </w:lvl>
  </w:abstractNum>
  <w:abstractNum w:abstractNumId="2" w15:restartNumberingAfterBreak="0">
    <w:nsid w:val="0CAC5ACC"/>
    <w:multiLevelType w:val="hybridMultilevel"/>
    <w:tmpl w:val="3C88ADBE"/>
    <w:lvl w:ilvl="0" w:tplc="04090001">
      <w:start w:val="1"/>
      <w:numFmt w:val="bullet"/>
      <w:lvlText w:val=""/>
      <w:lvlJc w:val="left"/>
      <w:pPr>
        <w:tabs>
          <w:tab w:val="num" w:pos="682"/>
        </w:tabs>
        <w:ind w:left="682"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02E7482"/>
    <w:multiLevelType w:val="hybridMultilevel"/>
    <w:tmpl w:val="F6FA8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EF2F69"/>
    <w:multiLevelType w:val="hybridMultilevel"/>
    <w:tmpl w:val="3CD66046"/>
    <w:lvl w:ilvl="0" w:tplc="38A68408">
      <w:start w:val="1"/>
      <w:numFmt w:val="bullet"/>
      <w:lvlText w:val=""/>
      <w:lvlJc w:val="left"/>
      <w:pPr>
        <w:tabs>
          <w:tab w:val="num" w:pos="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042584"/>
    <w:multiLevelType w:val="hybridMultilevel"/>
    <w:tmpl w:val="7A9075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76650D"/>
    <w:multiLevelType w:val="hybridMultilevel"/>
    <w:tmpl w:val="D50819BA"/>
    <w:lvl w:ilvl="0" w:tplc="CE9239CE">
      <w:start w:val="1"/>
      <w:numFmt w:val="bullet"/>
      <w:lvlText w:val=""/>
      <w:lvlJc w:val="left"/>
      <w:pPr>
        <w:tabs>
          <w:tab w:val="num" w:pos="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8041A4"/>
    <w:multiLevelType w:val="hybridMultilevel"/>
    <w:tmpl w:val="F6F6E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DC4C7C"/>
    <w:multiLevelType w:val="hybridMultilevel"/>
    <w:tmpl w:val="069E58F0"/>
    <w:lvl w:ilvl="0" w:tplc="E1562D7C">
      <w:start w:val="1"/>
      <w:numFmt w:val="bullet"/>
      <w:lvlText w:val=""/>
      <w:lvlJc w:val="left"/>
      <w:pPr>
        <w:tabs>
          <w:tab w:val="num" w:pos="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3461A9"/>
    <w:multiLevelType w:val="multilevel"/>
    <w:tmpl w:val="2E723D3A"/>
    <w:lvl w:ilvl="0">
      <w:start w:val="1"/>
      <w:numFmt w:val="decimal"/>
      <w:lvlText w:val="%1."/>
      <w:lvlJc w:val="left"/>
      <w:pPr>
        <w:tabs>
          <w:tab w:val="num" w:pos="794"/>
        </w:tabs>
        <w:ind w:left="794" w:hanging="472"/>
      </w:pPr>
      <w:rPr>
        <w:rFonts w:hint="default"/>
      </w:rPr>
    </w:lvl>
    <w:lvl w:ilvl="1">
      <w:start w:val="1"/>
      <w:numFmt w:val="decimal"/>
      <w:lvlText w:val="%2."/>
      <w:lvlJc w:val="left"/>
      <w:pPr>
        <w:tabs>
          <w:tab w:val="num" w:pos="1507"/>
        </w:tabs>
        <w:ind w:left="1507" w:hanging="465"/>
      </w:pPr>
      <w:rPr>
        <w:rFonts w:hint="default"/>
      </w:rPr>
    </w:lvl>
    <w:lvl w:ilvl="2">
      <w:start w:val="1"/>
      <w:numFmt w:val="lowerRoman"/>
      <w:lvlText w:val="%3."/>
      <w:lvlJc w:val="right"/>
      <w:pPr>
        <w:tabs>
          <w:tab w:val="num" w:pos="2122"/>
        </w:tabs>
        <w:ind w:left="2122" w:hanging="180"/>
      </w:pPr>
    </w:lvl>
    <w:lvl w:ilvl="3">
      <w:start w:val="1"/>
      <w:numFmt w:val="decimal"/>
      <w:lvlText w:val="%4."/>
      <w:lvlJc w:val="left"/>
      <w:pPr>
        <w:tabs>
          <w:tab w:val="num" w:pos="2842"/>
        </w:tabs>
        <w:ind w:left="2842" w:hanging="360"/>
      </w:pPr>
    </w:lvl>
    <w:lvl w:ilvl="4">
      <w:start w:val="1"/>
      <w:numFmt w:val="lowerLetter"/>
      <w:lvlText w:val="%5."/>
      <w:lvlJc w:val="left"/>
      <w:pPr>
        <w:tabs>
          <w:tab w:val="num" w:pos="3562"/>
        </w:tabs>
        <w:ind w:left="3562" w:hanging="360"/>
      </w:pPr>
    </w:lvl>
    <w:lvl w:ilvl="5">
      <w:start w:val="1"/>
      <w:numFmt w:val="lowerRoman"/>
      <w:lvlText w:val="%6."/>
      <w:lvlJc w:val="right"/>
      <w:pPr>
        <w:tabs>
          <w:tab w:val="num" w:pos="4282"/>
        </w:tabs>
        <w:ind w:left="4282" w:hanging="180"/>
      </w:pPr>
    </w:lvl>
    <w:lvl w:ilvl="6">
      <w:start w:val="1"/>
      <w:numFmt w:val="decimal"/>
      <w:lvlText w:val="%7."/>
      <w:lvlJc w:val="left"/>
      <w:pPr>
        <w:tabs>
          <w:tab w:val="num" w:pos="5002"/>
        </w:tabs>
        <w:ind w:left="5002" w:hanging="360"/>
      </w:pPr>
    </w:lvl>
    <w:lvl w:ilvl="7">
      <w:start w:val="1"/>
      <w:numFmt w:val="lowerLetter"/>
      <w:lvlText w:val="%8."/>
      <w:lvlJc w:val="left"/>
      <w:pPr>
        <w:tabs>
          <w:tab w:val="num" w:pos="5722"/>
        </w:tabs>
        <w:ind w:left="5722" w:hanging="360"/>
      </w:pPr>
    </w:lvl>
    <w:lvl w:ilvl="8">
      <w:start w:val="1"/>
      <w:numFmt w:val="lowerRoman"/>
      <w:lvlText w:val="%9."/>
      <w:lvlJc w:val="right"/>
      <w:pPr>
        <w:tabs>
          <w:tab w:val="num" w:pos="6442"/>
        </w:tabs>
        <w:ind w:left="6442" w:hanging="180"/>
      </w:pPr>
    </w:lvl>
  </w:abstractNum>
  <w:abstractNum w:abstractNumId="10" w15:restartNumberingAfterBreak="0">
    <w:nsid w:val="35484DA3"/>
    <w:multiLevelType w:val="hybridMultilevel"/>
    <w:tmpl w:val="615A523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38486876"/>
    <w:multiLevelType w:val="hybridMultilevel"/>
    <w:tmpl w:val="87508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C053C0"/>
    <w:multiLevelType w:val="multilevel"/>
    <w:tmpl w:val="615A523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3D3720C7"/>
    <w:multiLevelType w:val="hybridMultilevel"/>
    <w:tmpl w:val="3B160ED2"/>
    <w:lvl w:ilvl="0" w:tplc="49E89C3A">
      <w:start w:val="1"/>
      <w:numFmt w:val="bullet"/>
      <w:lvlText w:val=""/>
      <w:lvlJc w:val="left"/>
      <w:pPr>
        <w:tabs>
          <w:tab w:val="num" w:pos="720"/>
        </w:tabs>
        <w:ind w:left="108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F170F9C"/>
    <w:multiLevelType w:val="hybridMultilevel"/>
    <w:tmpl w:val="E70661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1B400E"/>
    <w:multiLevelType w:val="hybridMultilevel"/>
    <w:tmpl w:val="14684298"/>
    <w:lvl w:ilvl="0" w:tplc="AF26B580">
      <w:start w:val="1"/>
      <w:numFmt w:val="decimal"/>
      <w:lvlText w:val="%1."/>
      <w:lvlJc w:val="left"/>
      <w:pPr>
        <w:tabs>
          <w:tab w:val="num" w:pos="794"/>
        </w:tabs>
        <w:ind w:left="794" w:hanging="472"/>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3FEB58A5"/>
    <w:multiLevelType w:val="hybridMultilevel"/>
    <w:tmpl w:val="1352A6D4"/>
    <w:lvl w:ilvl="0" w:tplc="B1E414F2">
      <w:start w:val="1"/>
      <w:numFmt w:val="bullet"/>
      <w:lvlText w:val=""/>
      <w:lvlJc w:val="left"/>
      <w:pPr>
        <w:tabs>
          <w:tab w:val="num" w:pos="360"/>
        </w:tabs>
        <w:ind w:left="72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40D67A8"/>
    <w:multiLevelType w:val="multilevel"/>
    <w:tmpl w:val="C540ACB0"/>
    <w:lvl w:ilvl="0">
      <w:start w:val="3"/>
      <w:numFmt w:val="decimal"/>
      <w:lvlText w:val="%1"/>
      <w:lvlJc w:val="left"/>
      <w:pPr>
        <w:tabs>
          <w:tab w:val="num" w:pos="420"/>
        </w:tabs>
        <w:ind w:left="420" w:hanging="420"/>
      </w:pPr>
    </w:lvl>
    <w:lvl w:ilvl="1">
      <w:start w:val="2"/>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465B6691"/>
    <w:multiLevelType w:val="hybridMultilevel"/>
    <w:tmpl w:val="458EBF1A"/>
    <w:lvl w:ilvl="0" w:tplc="04090001">
      <w:start w:val="1"/>
      <w:numFmt w:val="bullet"/>
      <w:lvlText w:val=""/>
      <w:lvlJc w:val="left"/>
      <w:pPr>
        <w:tabs>
          <w:tab w:val="num" w:pos="682"/>
        </w:tabs>
        <w:ind w:left="682"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9" w15:restartNumberingAfterBreak="0">
    <w:nsid w:val="4AFE3F32"/>
    <w:multiLevelType w:val="hybridMultilevel"/>
    <w:tmpl w:val="2362E898"/>
    <w:lvl w:ilvl="0" w:tplc="FA622B9C">
      <w:start w:val="1"/>
      <w:numFmt w:val="bullet"/>
      <w:lvlText w:val=""/>
      <w:lvlJc w:val="left"/>
      <w:pPr>
        <w:tabs>
          <w:tab w:val="num" w:pos="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C44EC3"/>
    <w:multiLevelType w:val="hybridMultilevel"/>
    <w:tmpl w:val="A65E0DD8"/>
    <w:lvl w:ilvl="0" w:tplc="7B54AD24">
      <w:start w:val="1"/>
      <w:numFmt w:val="bullet"/>
      <w:lvlText w:val=""/>
      <w:lvlJc w:val="left"/>
      <w:pPr>
        <w:tabs>
          <w:tab w:val="num" w:pos="340"/>
        </w:tabs>
        <w:ind w:left="700" w:hanging="360"/>
      </w:pPr>
      <w:rPr>
        <w:rFonts w:ascii="Symbol" w:hAnsi="Symbol" w:hint="default"/>
      </w:rPr>
    </w:lvl>
    <w:lvl w:ilvl="1" w:tplc="08090003">
      <w:start w:val="1"/>
      <w:numFmt w:val="bullet"/>
      <w:lvlText w:val="o"/>
      <w:lvlJc w:val="left"/>
      <w:pPr>
        <w:tabs>
          <w:tab w:val="num" w:pos="1780"/>
        </w:tabs>
        <w:ind w:left="1780" w:hanging="360"/>
      </w:pPr>
      <w:rPr>
        <w:rFonts w:ascii="Courier New" w:hAnsi="Courier New" w:cs="Courier New" w:hint="default"/>
      </w:rPr>
    </w:lvl>
    <w:lvl w:ilvl="2" w:tplc="08090005">
      <w:start w:val="1"/>
      <w:numFmt w:val="bullet"/>
      <w:lvlText w:val=""/>
      <w:lvlJc w:val="left"/>
      <w:pPr>
        <w:tabs>
          <w:tab w:val="num" w:pos="2500"/>
        </w:tabs>
        <w:ind w:left="2500" w:hanging="360"/>
      </w:pPr>
      <w:rPr>
        <w:rFonts w:ascii="Wingdings" w:hAnsi="Wingdings" w:hint="default"/>
      </w:rPr>
    </w:lvl>
    <w:lvl w:ilvl="3" w:tplc="08090001">
      <w:start w:val="1"/>
      <w:numFmt w:val="bullet"/>
      <w:lvlText w:val=""/>
      <w:lvlJc w:val="left"/>
      <w:pPr>
        <w:tabs>
          <w:tab w:val="num" w:pos="3220"/>
        </w:tabs>
        <w:ind w:left="3220" w:hanging="360"/>
      </w:pPr>
      <w:rPr>
        <w:rFonts w:ascii="Symbol" w:hAnsi="Symbol" w:hint="default"/>
      </w:rPr>
    </w:lvl>
    <w:lvl w:ilvl="4" w:tplc="08090003">
      <w:start w:val="1"/>
      <w:numFmt w:val="bullet"/>
      <w:lvlText w:val="o"/>
      <w:lvlJc w:val="left"/>
      <w:pPr>
        <w:tabs>
          <w:tab w:val="num" w:pos="3940"/>
        </w:tabs>
        <w:ind w:left="3940" w:hanging="360"/>
      </w:pPr>
      <w:rPr>
        <w:rFonts w:ascii="Courier New" w:hAnsi="Courier New" w:cs="Courier New" w:hint="default"/>
      </w:rPr>
    </w:lvl>
    <w:lvl w:ilvl="5" w:tplc="08090005">
      <w:start w:val="1"/>
      <w:numFmt w:val="bullet"/>
      <w:lvlText w:val=""/>
      <w:lvlJc w:val="left"/>
      <w:pPr>
        <w:tabs>
          <w:tab w:val="num" w:pos="4660"/>
        </w:tabs>
        <w:ind w:left="4660" w:hanging="360"/>
      </w:pPr>
      <w:rPr>
        <w:rFonts w:ascii="Wingdings" w:hAnsi="Wingdings" w:hint="default"/>
      </w:rPr>
    </w:lvl>
    <w:lvl w:ilvl="6" w:tplc="08090001">
      <w:start w:val="1"/>
      <w:numFmt w:val="bullet"/>
      <w:lvlText w:val=""/>
      <w:lvlJc w:val="left"/>
      <w:pPr>
        <w:tabs>
          <w:tab w:val="num" w:pos="5380"/>
        </w:tabs>
        <w:ind w:left="5380" w:hanging="360"/>
      </w:pPr>
      <w:rPr>
        <w:rFonts w:ascii="Symbol" w:hAnsi="Symbol" w:hint="default"/>
      </w:rPr>
    </w:lvl>
    <w:lvl w:ilvl="7" w:tplc="08090003">
      <w:start w:val="1"/>
      <w:numFmt w:val="bullet"/>
      <w:lvlText w:val="o"/>
      <w:lvlJc w:val="left"/>
      <w:pPr>
        <w:tabs>
          <w:tab w:val="num" w:pos="6100"/>
        </w:tabs>
        <w:ind w:left="6100" w:hanging="360"/>
      </w:pPr>
      <w:rPr>
        <w:rFonts w:ascii="Courier New" w:hAnsi="Courier New" w:cs="Courier New" w:hint="default"/>
      </w:rPr>
    </w:lvl>
    <w:lvl w:ilvl="8" w:tplc="08090005">
      <w:start w:val="1"/>
      <w:numFmt w:val="bullet"/>
      <w:lvlText w:val=""/>
      <w:lvlJc w:val="left"/>
      <w:pPr>
        <w:tabs>
          <w:tab w:val="num" w:pos="6820"/>
        </w:tabs>
        <w:ind w:left="6820" w:hanging="360"/>
      </w:pPr>
      <w:rPr>
        <w:rFonts w:ascii="Wingdings" w:hAnsi="Wingdings" w:hint="default"/>
      </w:rPr>
    </w:lvl>
  </w:abstractNum>
  <w:abstractNum w:abstractNumId="21" w15:restartNumberingAfterBreak="0">
    <w:nsid w:val="50B4476D"/>
    <w:multiLevelType w:val="hybridMultilevel"/>
    <w:tmpl w:val="D3F26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0828C8"/>
    <w:multiLevelType w:val="hybridMultilevel"/>
    <w:tmpl w:val="69706D40"/>
    <w:lvl w:ilvl="0" w:tplc="404E6052">
      <w:start w:val="1"/>
      <w:numFmt w:val="bullet"/>
      <w:lvlText w:val=""/>
      <w:lvlJc w:val="left"/>
      <w:pPr>
        <w:tabs>
          <w:tab w:val="num" w:pos="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D13B01"/>
    <w:multiLevelType w:val="hybridMultilevel"/>
    <w:tmpl w:val="ABB82DE4"/>
    <w:lvl w:ilvl="0" w:tplc="EC96F688">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EBA5196"/>
    <w:multiLevelType w:val="hybridMultilevel"/>
    <w:tmpl w:val="7B7A8B42"/>
    <w:lvl w:ilvl="0" w:tplc="04090001">
      <w:start w:val="1"/>
      <w:numFmt w:val="bullet"/>
      <w:lvlText w:val=""/>
      <w:lvlJc w:val="left"/>
      <w:pPr>
        <w:tabs>
          <w:tab w:val="num" w:pos="682"/>
        </w:tabs>
        <w:ind w:left="682" w:hanging="360"/>
      </w:pPr>
      <w:rPr>
        <w:rFonts w:ascii="Symbol" w:hAnsi="Symbol" w:hint="default"/>
      </w:rPr>
    </w:lvl>
    <w:lvl w:ilvl="1" w:tplc="B79669E6">
      <w:start w:val="1"/>
      <w:numFmt w:val="decimal"/>
      <w:lvlText w:val="%2."/>
      <w:lvlJc w:val="left"/>
      <w:pPr>
        <w:tabs>
          <w:tab w:val="num" w:pos="1507"/>
        </w:tabs>
        <w:ind w:left="1507" w:hanging="465"/>
      </w:pPr>
      <w:rPr>
        <w:rFonts w:hint="default"/>
      </w:rPr>
    </w:lvl>
    <w:lvl w:ilvl="2" w:tplc="0409001B">
      <w:start w:val="1"/>
      <w:numFmt w:val="lowerRoman"/>
      <w:lvlText w:val="%3."/>
      <w:lvlJc w:val="right"/>
      <w:pPr>
        <w:tabs>
          <w:tab w:val="num" w:pos="2122"/>
        </w:tabs>
        <w:ind w:left="2122" w:hanging="180"/>
      </w:pPr>
    </w:lvl>
    <w:lvl w:ilvl="3" w:tplc="0409000F">
      <w:start w:val="1"/>
      <w:numFmt w:val="decimal"/>
      <w:lvlText w:val="%4."/>
      <w:lvlJc w:val="left"/>
      <w:pPr>
        <w:tabs>
          <w:tab w:val="num" w:pos="2842"/>
        </w:tabs>
        <w:ind w:left="2842" w:hanging="360"/>
      </w:pPr>
    </w:lvl>
    <w:lvl w:ilvl="4" w:tplc="04090019">
      <w:start w:val="1"/>
      <w:numFmt w:val="lowerLetter"/>
      <w:lvlText w:val="%5."/>
      <w:lvlJc w:val="left"/>
      <w:pPr>
        <w:tabs>
          <w:tab w:val="num" w:pos="3562"/>
        </w:tabs>
        <w:ind w:left="3562" w:hanging="360"/>
      </w:pPr>
    </w:lvl>
    <w:lvl w:ilvl="5" w:tplc="0409001B">
      <w:start w:val="1"/>
      <w:numFmt w:val="lowerRoman"/>
      <w:lvlText w:val="%6."/>
      <w:lvlJc w:val="right"/>
      <w:pPr>
        <w:tabs>
          <w:tab w:val="num" w:pos="4282"/>
        </w:tabs>
        <w:ind w:left="4282" w:hanging="180"/>
      </w:pPr>
    </w:lvl>
    <w:lvl w:ilvl="6" w:tplc="0409000F">
      <w:start w:val="1"/>
      <w:numFmt w:val="decimal"/>
      <w:lvlText w:val="%7."/>
      <w:lvlJc w:val="left"/>
      <w:pPr>
        <w:tabs>
          <w:tab w:val="num" w:pos="5002"/>
        </w:tabs>
        <w:ind w:left="5002" w:hanging="360"/>
      </w:pPr>
    </w:lvl>
    <w:lvl w:ilvl="7" w:tplc="04090019">
      <w:start w:val="1"/>
      <w:numFmt w:val="lowerLetter"/>
      <w:lvlText w:val="%8."/>
      <w:lvlJc w:val="left"/>
      <w:pPr>
        <w:tabs>
          <w:tab w:val="num" w:pos="5722"/>
        </w:tabs>
        <w:ind w:left="5722" w:hanging="360"/>
      </w:pPr>
    </w:lvl>
    <w:lvl w:ilvl="8" w:tplc="0409001B">
      <w:start w:val="1"/>
      <w:numFmt w:val="lowerRoman"/>
      <w:lvlText w:val="%9."/>
      <w:lvlJc w:val="right"/>
      <w:pPr>
        <w:tabs>
          <w:tab w:val="num" w:pos="6442"/>
        </w:tabs>
        <w:ind w:left="6442" w:hanging="180"/>
      </w:pPr>
    </w:lvl>
  </w:abstractNum>
  <w:abstractNum w:abstractNumId="25" w15:restartNumberingAfterBreak="0">
    <w:nsid w:val="5F5C11C6"/>
    <w:multiLevelType w:val="hybridMultilevel"/>
    <w:tmpl w:val="34643088"/>
    <w:lvl w:ilvl="0" w:tplc="B5B8D386">
      <w:start w:val="1"/>
      <w:numFmt w:val="bullet"/>
      <w:lvlText w:val=""/>
      <w:lvlJc w:val="left"/>
      <w:pPr>
        <w:tabs>
          <w:tab w:val="num" w:pos="720"/>
        </w:tabs>
        <w:ind w:left="108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BFD1285"/>
    <w:multiLevelType w:val="multilevel"/>
    <w:tmpl w:val="4B0C60C4"/>
    <w:lvl w:ilvl="0">
      <w:start w:val="4"/>
      <w:numFmt w:val="decimal"/>
      <w:lvlText w:val="%1"/>
      <w:lvlJc w:val="left"/>
      <w:pPr>
        <w:tabs>
          <w:tab w:val="num" w:pos="360"/>
        </w:tabs>
        <w:ind w:left="360" w:hanging="36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6FEB4818"/>
    <w:multiLevelType w:val="hybridMultilevel"/>
    <w:tmpl w:val="A12A5AA4"/>
    <w:lvl w:ilvl="0" w:tplc="F88CCBE0">
      <w:start w:val="1"/>
      <w:numFmt w:val="bullet"/>
      <w:lvlText w:val=""/>
      <w:lvlJc w:val="left"/>
      <w:pPr>
        <w:tabs>
          <w:tab w:val="num" w:pos="227"/>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871FA1"/>
    <w:multiLevelType w:val="multilevel"/>
    <w:tmpl w:val="14684298"/>
    <w:lvl w:ilvl="0">
      <w:start w:val="1"/>
      <w:numFmt w:val="decimal"/>
      <w:lvlText w:val="%1."/>
      <w:lvlJc w:val="left"/>
      <w:pPr>
        <w:tabs>
          <w:tab w:val="num" w:pos="794"/>
        </w:tabs>
        <w:ind w:left="794" w:hanging="4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B507007"/>
    <w:multiLevelType w:val="hybridMultilevel"/>
    <w:tmpl w:val="1B0A8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0"/>
  </w:num>
  <w:num w:numId="4">
    <w:abstractNumId w:val="1"/>
  </w:num>
  <w:num w:numId="5">
    <w:abstractNumId w:val="15"/>
  </w:num>
  <w:num w:numId="6">
    <w:abstractNumId w:val="9"/>
  </w:num>
  <w:num w:numId="7">
    <w:abstractNumId w:val="24"/>
  </w:num>
  <w:num w:numId="8">
    <w:abstractNumId w:val="28"/>
  </w:num>
  <w:num w:numId="9">
    <w:abstractNumId w:val="2"/>
  </w:num>
  <w:num w:numId="10">
    <w:abstractNumId w:val="12"/>
  </w:num>
  <w:num w:numId="11">
    <w:abstractNumId w:val="18"/>
  </w:num>
  <w:num w:numId="12">
    <w:abstractNumId w:val="6"/>
  </w:num>
  <w:num w:numId="13">
    <w:abstractNumId w:val="0"/>
  </w:num>
  <w:num w:numId="14">
    <w:abstractNumId w:val="25"/>
  </w:num>
  <w:num w:numId="15">
    <w:abstractNumId w:val="13"/>
  </w:num>
  <w:num w:numId="16">
    <w:abstractNumId w:val="8"/>
  </w:num>
  <w:num w:numId="17">
    <w:abstractNumId w:val="23"/>
  </w:num>
  <w:num w:numId="18">
    <w:abstractNumId w:val="20"/>
  </w:num>
  <w:num w:numId="19">
    <w:abstractNumId w:val="16"/>
  </w:num>
  <w:num w:numId="20">
    <w:abstractNumId w:val="1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4"/>
  </w:num>
  <w:num w:numId="23">
    <w:abstractNumId w:val="19"/>
  </w:num>
  <w:num w:numId="24">
    <w:abstractNumId w:val="26"/>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21"/>
  </w:num>
  <w:num w:numId="31">
    <w:abstractNumId w:val="29"/>
  </w:num>
  <w:num w:numId="32">
    <w:abstractNumId w:val="1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078"/>
    <w:rsid w:val="0000054E"/>
    <w:rsid w:val="000022B4"/>
    <w:rsid w:val="000036BA"/>
    <w:rsid w:val="0000527D"/>
    <w:rsid w:val="00005710"/>
    <w:rsid w:val="00020DB5"/>
    <w:rsid w:val="00023532"/>
    <w:rsid w:val="000244D7"/>
    <w:rsid w:val="0002526F"/>
    <w:rsid w:val="00025B79"/>
    <w:rsid w:val="00027078"/>
    <w:rsid w:val="00033440"/>
    <w:rsid w:val="00042273"/>
    <w:rsid w:val="000515A7"/>
    <w:rsid w:val="0005304B"/>
    <w:rsid w:val="00057ABF"/>
    <w:rsid w:val="00062253"/>
    <w:rsid w:val="0006527F"/>
    <w:rsid w:val="00066850"/>
    <w:rsid w:val="00066AC3"/>
    <w:rsid w:val="000677ED"/>
    <w:rsid w:val="00070528"/>
    <w:rsid w:val="0007075D"/>
    <w:rsid w:val="00070DF3"/>
    <w:rsid w:val="000760F5"/>
    <w:rsid w:val="000858B8"/>
    <w:rsid w:val="0009212B"/>
    <w:rsid w:val="000937DE"/>
    <w:rsid w:val="0009473E"/>
    <w:rsid w:val="000949F3"/>
    <w:rsid w:val="000A2BD8"/>
    <w:rsid w:val="000A6B30"/>
    <w:rsid w:val="000A7B7B"/>
    <w:rsid w:val="000B3AE6"/>
    <w:rsid w:val="000B44F0"/>
    <w:rsid w:val="000B52F7"/>
    <w:rsid w:val="000B5F4C"/>
    <w:rsid w:val="000C14A1"/>
    <w:rsid w:val="000D06E5"/>
    <w:rsid w:val="000D28AA"/>
    <w:rsid w:val="000D5AFB"/>
    <w:rsid w:val="000E07AE"/>
    <w:rsid w:val="000E16ED"/>
    <w:rsid w:val="000E6AE4"/>
    <w:rsid w:val="000F2CD2"/>
    <w:rsid w:val="000F6A27"/>
    <w:rsid w:val="000F6B1D"/>
    <w:rsid w:val="00101E9B"/>
    <w:rsid w:val="00115692"/>
    <w:rsid w:val="00116350"/>
    <w:rsid w:val="00117676"/>
    <w:rsid w:val="001176EB"/>
    <w:rsid w:val="00121D99"/>
    <w:rsid w:val="00122E04"/>
    <w:rsid w:val="001233D4"/>
    <w:rsid w:val="00127A2D"/>
    <w:rsid w:val="001308D9"/>
    <w:rsid w:val="001322A2"/>
    <w:rsid w:val="00132FEA"/>
    <w:rsid w:val="00140A04"/>
    <w:rsid w:val="00140E1F"/>
    <w:rsid w:val="00141A7F"/>
    <w:rsid w:val="00145398"/>
    <w:rsid w:val="0014702E"/>
    <w:rsid w:val="00151206"/>
    <w:rsid w:val="0015245C"/>
    <w:rsid w:val="001537FD"/>
    <w:rsid w:val="001553F8"/>
    <w:rsid w:val="0016148E"/>
    <w:rsid w:val="00162593"/>
    <w:rsid w:val="00165798"/>
    <w:rsid w:val="00167735"/>
    <w:rsid w:val="001702BF"/>
    <w:rsid w:val="0017084C"/>
    <w:rsid w:val="00171629"/>
    <w:rsid w:val="00171BEA"/>
    <w:rsid w:val="00171D0F"/>
    <w:rsid w:val="00172624"/>
    <w:rsid w:val="00175874"/>
    <w:rsid w:val="001769F8"/>
    <w:rsid w:val="0017771A"/>
    <w:rsid w:val="00180169"/>
    <w:rsid w:val="001824C4"/>
    <w:rsid w:val="0018318F"/>
    <w:rsid w:val="00183B23"/>
    <w:rsid w:val="001855E6"/>
    <w:rsid w:val="0019172D"/>
    <w:rsid w:val="001939AF"/>
    <w:rsid w:val="00193FA0"/>
    <w:rsid w:val="001978CC"/>
    <w:rsid w:val="001A0649"/>
    <w:rsid w:val="001A0997"/>
    <w:rsid w:val="001A2636"/>
    <w:rsid w:val="001A34B5"/>
    <w:rsid w:val="001A55BB"/>
    <w:rsid w:val="001A7776"/>
    <w:rsid w:val="001B7517"/>
    <w:rsid w:val="001B7EDF"/>
    <w:rsid w:val="001C1E5D"/>
    <w:rsid w:val="001C3382"/>
    <w:rsid w:val="001D4F00"/>
    <w:rsid w:val="001D520F"/>
    <w:rsid w:val="001D52CC"/>
    <w:rsid w:val="001D75BF"/>
    <w:rsid w:val="001E5E25"/>
    <w:rsid w:val="001E6BAB"/>
    <w:rsid w:val="001F32D6"/>
    <w:rsid w:val="001F3830"/>
    <w:rsid w:val="001F5ADC"/>
    <w:rsid w:val="002002C8"/>
    <w:rsid w:val="00200BB9"/>
    <w:rsid w:val="002018DD"/>
    <w:rsid w:val="00203F16"/>
    <w:rsid w:val="002072BF"/>
    <w:rsid w:val="00207456"/>
    <w:rsid w:val="002111A1"/>
    <w:rsid w:val="002119C2"/>
    <w:rsid w:val="00215D00"/>
    <w:rsid w:val="00216A7F"/>
    <w:rsid w:val="00223935"/>
    <w:rsid w:val="00224B4B"/>
    <w:rsid w:val="00225062"/>
    <w:rsid w:val="00225808"/>
    <w:rsid w:val="0022628D"/>
    <w:rsid w:val="002271C0"/>
    <w:rsid w:val="00231AAC"/>
    <w:rsid w:val="002403CF"/>
    <w:rsid w:val="00240DBC"/>
    <w:rsid w:val="00240FD3"/>
    <w:rsid w:val="002433C9"/>
    <w:rsid w:val="002441C9"/>
    <w:rsid w:val="00244AA1"/>
    <w:rsid w:val="0024605C"/>
    <w:rsid w:val="002462BC"/>
    <w:rsid w:val="00246743"/>
    <w:rsid w:val="00247ECF"/>
    <w:rsid w:val="00254A36"/>
    <w:rsid w:val="0025591A"/>
    <w:rsid w:val="00256B30"/>
    <w:rsid w:val="002602E5"/>
    <w:rsid w:val="00261E96"/>
    <w:rsid w:val="0027099A"/>
    <w:rsid w:val="00274BB9"/>
    <w:rsid w:val="002753F5"/>
    <w:rsid w:val="00276793"/>
    <w:rsid w:val="002777CA"/>
    <w:rsid w:val="002779A4"/>
    <w:rsid w:val="0028041A"/>
    <w:rsid w:val="00285833"/>
    <w:rsid w:val="0029181C"/>
    <w:rsid w:val="00291F39"/>
    <w:rsid w:val="00292390"/>
    <w:rsid w:val="00293B50"/>
    <w:rsid w:val="00295A97"/>
    <w:rsid w:val="002A043F"/>
    <w:rsid w:val="002A41D8"/>
    <w:rsid w:val="002B41A0"/>
    <w:rsid w:val="002B5EFF"/>
    <w:rsid w:val="002B7E86"/>
    <w:rsid w:val="002C03BD"/>
    <w:rsid w:val="002C5FD5"/>
    <w:rsid w:val="002C70D3"/>
    <w:rsid w:val="002D0068"/>
    <w:rsid w:val="002D2063"/>
    <w:rsid w:val="002D6F43"/>
    <w:rsid w:val="002D75F4"/>
    <w:rsid w:val="002D77D0"/>
    <w:rsid w:val="002E0AA2"/>
    <w:rsid w:val="002E1E3D"/>
    <w:rsid w:val="002F0EDD"/>
    <w:rsid w:val="002F3188"/>
    <w:rsid w:val="002F4031"/>
    <w:rsid w:val="002F4F06"/>
    <w:rsid w:val="002F6906"/>
    <w:rsid w:val="002F6C64"/>
    <w:rsid w:val="00303A6F"/>
    <w:rsid w:val="0030420B"/>
    <w:rsid w:val="00304C7E"/>
    <w:rsid w:val="00306C53"/>
    <w:rsid w:val="00307F16"/>
    <w:rsid w:val="00310184"/>
    <w:rsid w:val="00312430"/>
    <w:rsid w:val="003125EE"/>
    <w:rsid w:val="00315BA8"/>
    <w:rsid w:val="00325560"/>
    <w:rsid w:val="00326C12"/>
    <w:rsid w:val="0033148D"/>
    <w:rsid w:val="00331791"/>
    <w:rsid w:val="00333DBF"/>
    <w:rsid w:val="00336476"/>
    <w:rsid w:val="003369B9"/>
    <w:rsid w:val="00337034"/>
    <w:rsid w:val="003416BB"/>
    <w:rsid w:val="00343C33"/>
    <w:rsid w:val="003445B8"/>
    <w:rsid w:val="003448FF"/>
    <w:rsid w:val="00344CE4"/>
    <w:rsid w:val="0034642C"/>
    <w:rsid w:val="00352A66"/>
    <w:rsid w:val="00353983"/>
    <w:rsid w:val="00355299"/>
    <w:rsid w:val="003605E2"/>
    <w:rsid w:val="003654DD"/>
    <w:rsid w:val="00365FF9"/>
    <w:rsid w:val="003663ED"/>
    <w:rsid w:val="00366BB0"/>
    <w:rsid w:val="00371B2C"/>
    <w:rsid w:val="0037425E"/>
    <w:rsid w:val="00375A4B"/>
    <w:rsid w:val="00375F4D"/>
    <w:rsid w:val="003828D9"/>
    <w:rsid w:val="00383067"/>
    <w:rsid w:val="00383C5B"/>
    <w:rsid w:val="003844CF"/>
    <w:rsid w:val="0039133A"/>
    <w:rsid w:val="0039355F"/>
    <w:rsid w:val="00396BF0"/>
    <w:rsid w:val="003A068E"/>
    <w:rsid w:val="003A1B51"/>
    <w:rsid w:val="003A26D1"/>
    <w:rsid w:val="003A4AF7"/>
    <w:rsid w:val="003A5F40"/>
    <w:rsid w:val="003A7180"/>
    <w:rsid w:val="003B197A"/>
    <w:rsid w:val="003B6970"/>
    <w:rsid w:val="003C0068"/>
    <w:rsid w:val="003C1C47"/>
    <w:rsid w:val="003C35E9"/>
    <w:rsid w:val="003D2F59"/>
    <w:rsid w:val="003D3355"/>
    <w:rsid w:val="003E06DD"/>
    <w:rsid w:val="003E1C55"/>
    <w:rsid w:val="003E25A0"/>
    <w:rsid w:val="003E2FB6"/>
    <w:rsid w:val="003E36C8"/>
    <w:rsid w:val="003E46B7"/>
    <w:rsid w:val="003E5557"/>
    <w:rsid w:val="003E589B"/>
    <w:rsid w:val="003E58EC"/>
    <w:rsid w:val="003E6352"/>
    <w:rsid w:val="003E6D34"/>
    <w:rsid w:val="003F0205"/>
    <w:rsid w:val="003F7478"/>
    <w:rsid w:val="003F7A1C"/>
    <w:rsid w:val="004066E6"/>
    <w:rsid w:val="0041174D"/>
    <w:rsid w:val="00412EC1"/>
    <w:rsid w:val="004150FA"/>
    <w:rsid w:val="0041765D"/>
    <w:rsid w:val="004207C1"/>
    <w:rsid w:val="0042199F"/>
    <w:rsid w:val="00423F22"/>
    <w:rsid w:val="00425096"/>
    <w:rsid w:val="00426C20"/>
    <w:rsid w:val="004303A6"/>
    <w:rsid w:val="00430F18"/>
    <w:rsid w:val="0044754A"/>
    <w:rsid w:val="00447B3E"/>
    <w:rsid w:val="0045566E"/>
    <w:rsid w:val="0045677C"/>
    <w:rsid w:val="0046495B"/>
    <w:rsid w:val="0046583C"/>
    <w:rsid w:val="00465E0F"/>
    <w:rsid w:val="00470558"/>
    <w:rsid w:val="00471881"/>
    <w:rsid w:val="00473D24"/>
    <w:rsid w:val="00473D4A"/>
    <w:rsid w:val="004745C3"/>
    <w:rsid w:val="00477544"/>
    <w:rsid w:val="00482781"/>
    <w:rsid w:val="004839D3"/>
    <w:rsid w:val="0048638C"/>
    <w:rsid w:val="00491B2C"/>
    <w:rsid w:val="0049631A"/>
    <w:rsid w:val="0049637D"/>
    <w:rsid w:val="004A0BF1"/>
    <w:rsid w:val="004A5B60"/>
    <w:rsid w:val="004A691B"/>
    <w:rsid w:val="004B1B85"/>
    <w:rsid w:val="004B45CA"/>
    <w:rsid w:val="004B5722"/>
    <w:rsid w:val="004B72C3"/>
    <w:rsid w:val="004C0258"/>
    <w:rsid w:val="004C5E3F"/>
    <w:rsid w:val="004C65E8"/>
    <w:rsid w:val="004C7FA6"/>
    <w:rsid w:val="004D2B3D"/>
    <w:rsid w:val="004D6009"/>
    <w:rsid w:val="004D6375"/>
    <w:rsid w:val="004E04BA"/>
    <w:rsid w:val="004E0B53"/>
    <w:rsid w:val="004E145D"/>
    <w:rsid w:val="004E2444"/>
    <w:rsid w:val="004E5A97"/>
    <w:rsid w:val="004E5BE7"/>
    <w:rsid w:val="004E72D7"/>
    <w:rsid w:val="004E7EA5"/>
    <w:rsid w:val="004F2B14"/>
    <w:rsid w:val="004F2D45"/>
    <w:rsid w:val="004F5096"/>
    <w:rsid w:val="004F5DF3"/>
    <w:rsid w:val="005020B9"/>
    <w:rsid w:val="00505568"/>
    <w:rsid w:val="00505C24"/>
    <w:rsid w:val="00506BEE"/>
    <w:rsid w:val="00510A8E"/>
    <w:rsid w:val="0051253F"/>
    <w:rsid w:val="005132B6"/>
    <w:rsid w:val="00513965"/>
    <w:rsid w:val="00516865"/>
    <w:rsid w:val="0051713E"/>
    <w:rsid w:val="00520F30"/>
    <w:rsid w:val="005241BE"/>
    <w:rsid w:val="005243D2"/>
    <w:rsid w:val="0052441F"/>
    <w:rsid w:val="00525705"/>
    <w:rsid w:val="00527D21"/>
    <w:rsid w:val="005332A4"/>
    <w:rsid w:val="005338D7"/>
    <w:rsid w:val="00534FB7"/>
    <w:rsid w:val="00541346"/>
    <w:rsid w:val="0055010C"/>
    <w:rsid w:val="005504F2"/>
    <w:rsid w:val="005522ED"/>
    <w:rsid w:val="00552777"/>
    <w:rsid w:val="00553BD5"/>
    <w:rsid w:val="00554A06"/>
    <w:rsid w:val="00555350"/>
    <w:rsid w:val="005600B5"/>
    <w:rsid w:val="00564B8D"/>
    <w:rsid w:val="00573365"/>
    <w:rsid w:val="00575F2C"/>
    <w:rsid w:val="00580907"/>
    <w:rsid w:val="00585832"/>
    <w:rsid w:val="00585DCD"/>
    <w:rsid w:val="00591DF2"/>
    <w:rsid w:val="00592023"/>
    <w:rsid w:val="005A1F45"/>
    <w:rsid w:val="005A285E"/>
    <w:rsid w:val="005A585C"/>
    <w:rsid w:val="005A5A78"/>
    <w:rsid w:val="005A7DA4"/>
    <w:rsid w:val="005B0FA7"/>
    <w:rsid w:val="005B190D"/>
    <w:rsid w:val="005B27D0"/>
    <w:rsid w:val="005B561E"/>
    <w:rsid w:val="005B59C7"/>
    <w:rsid w:val="005C2AA6"/>
    <w:rsid w:val="005C3B12"/>
    <w:rsid w:val="005D07BC"/>
    <w:rsid w:val="005E52BC"/>
    <w:rsid w:val="005E5B84"/>
    <w:rsid w:val="005E6039"/>
    <w:rsid w:val="005E794C"/>
    <w:rsid w:val="005E7964"/>
    <w:rsid w:val="005F0905"/>
    <w:rsid w:val="005F2708"/>
    <w:rsid w:val="005F2EB7"/>
    <w:rsid w:val="005F36A4"/>
    <w:rsid w:val="0060053C"/>
    <w:rsid w:val="006030A7"/>
    <w:rsid w:val="00603583"/>
    <w:rsid w:val="00605A12"/>
    <w:rsid w:val="00611376"/>
    <w:rsid w:val="00611F99"/>
    <w:rsid w:val="00612573"/>
    <w:rsid w:val="00613709"/>
    <w:rsid w:val="00613F3B"/>
    <w:rsid w:val="0061579E"/>
    <w:rsid w:val="00617F31"/>
    <w:rsid w:val="0062021F"/>
    <w:rsid w:val="006205A7"/>
    <w:rsid w:val="00622AAC"/>
    <w:rsid w:val="006403A1"/>
    <w:rsid w:val="006420CC"/>
    <w:rsid w:val="00642367"/>
    <w:rsid w:val="0064420A"/>
    <w:rsid w:val="00647744"/>
    <w:rsid w:val="0065150B"/>
    <w:rsid w:val="00653F41"/>
    <w:rsid w:val="00654A30"/>
    <w:rsid w:val="00655900"/>
    <w:rsid w:val="006618B4"/>
    <w:rsid w:val="00661F7B"/>
    <w:rsid w:val="00662A27"/>
    <w:rsid w:val="006632F1"/>
    <w:rsid w:val="00666079"/>
    <w:rsid w:val="006701A3"/>
    <w:rsid w:val="006707BC"/>
    <w:rsid w:val="006707EE"/>
    <w:rsid w:val="0067273D"/>
    <w:rsid w:val="00673920"/>
    <w:rsid w:val="006835AF"/>
    <w:rsid w:val="00683820"/>
    <w:rsid w:val="00684E16"/>
    <w:rsid w:val="006855BD"/>
    <w:rsid w:val="00685C98"/>
    <w:rsid w:val="00687A25"/>
    <w:rsid w:val="00690741"/>
    <w:rsid w:val="006915B1"/>
    <w:rsid w:val="006918C6"/>
    <w:rsid w:val="00691BC7"/>
    <w:rsid w:val="00692743"/>
    <w:rsid w:val="00697935"/>
    <w:rsid w:val="00697E93"/>
    <w:rsid w:val="006A0D5F"/>
    <w:rsid w:val="006A120C"/>
    <w:rsid w:val="006A1C50"/>
    <w:rsid w:val="006B0833"/>
    <w:rsid w:val="006B28D9"/>
    <w:rsid w:val="006B3E3F"/>
    <w:rsid w:val="006B6485"/>
    <w:rsid w:val="006B665E"/>
    <w:rsid w:val="006B69DD"/>
    <w:rsid w:val="006C1BB1"/>
    <w:rsid w:val="006C47A7"/>
    <w:rsid w:val="006C6038"/>
    <w:rsid w:val="006C64F1"/>
    <w:rsid w:val="006D00FA"/>
    <w:rsid w:val="006D1096"/>
    <w:rsid w:val="006D17BD"/>
    <w:rsid w:val="006D2BC0"/>
    <w:rsid w:val="006D35AA"/>
    <w:rsid w:val="006D3EFE"/>
    <w:rsid w:val="006D49A5"/>
    <w:rsid w:val="006D57CF"/>
    <w:rsid w:val="006D6252"/>
    <w:rsid w:val="006D743F"/>
    <w:rsid w:val="006E041D"/>
    <w:rsid w:val="006E546C"/>
    <w:rsid w:val="006F2473"/>
    <w:rsid w:val="006F651C"/>
    <w:rsid w:val="0070010E"/>
    <w:rsid w:val="00700C7F"/>
    <w:rsid w:val="00702932"/>
    <w:rsid w:val="00704004"/>
    <w:rsid w:val="00705214"/>
    <w:rsid w:val="0070578B"/>
    <w:rsid w:val="007059DE"/>
    <w:rsid w:val="007075A9"/>
    <w:rsid w:val="007075AC"/>
    <w:rsid w:val="00710252"/>
    <w:rsid w:val="007137DD"/>
    <w:rsid w:val="007147B3"/>
    <w:rsid w:val="0072483E"/>
    <w:rsid w:val="00725A8F"/>
    <w:rsid w:val="00727D7D"/>
    <w:rsid w:val="00732B7B"/>
    <w:rsid w:val="00734DD2"/>
    <w:rsid w:val="00736165"/>
    <w:rsid w:val="00741824"/>
    <w:rsid w:val="00742C69"/>
    <w:rsid w:val="00746F61"/>
    <w:rsid w:val="00747C90"/>
    <w:rsid w:val="007513F3"/>
    <w:rsid w:val="00755821"/>
    <w:rsid w:val="00762B49"/>
    <w:rsid w:val="00763018"/>
    <w:rsid w:val="007670BC"/>
    <w:rsid w:val="007714D3"/>
    <w:rsid w:val="007738FB"/>
    <w:rsid w:val="00773CAE"/>
    <w:rsid w:val="007752D3"/>
    <w:rsid w:val="00780D00"/>
    <w:rsid w:val="007815BF"/>
    <w:rsid w:val="0078413D"/>
    <w:rsid w:val="00784ACF"/>
    <w:rsid w:val="007874B2"/>
    <w:rsid w:val="007961EE"/>
    <w:rsid w:val="007A003D"/>
    <w:rsid w:val="007A1F3E"/>
    <w:rsid w:val="007A3470"/>
    <w:rsid w:val="007B3604"/>
    <w:rsid w:val="007B5CCC"/>
    <w:rsid w:val="007C15BB"/>
    <w:rsid w:val="007C2EC3"/>
    <w:rsid w:val="007C35A1"/>
    <w:rsid w:val="007C5BA6"/>
    <w:rsid w:val="007C5BB4"/>
    <w:rsid w:val="007C62E2"/>
    <w:rsid w:val="007D200F"/>
    <w:rsid w:val="007D27E8"/>
    <w:rsid w:val="007D2A99"/>
    <w:rsid w:val="007D67D7"/>
    <w:rsid w:val="007E09AB"/>
    <w:rsid w:val="007E0F2A"/>
    <w:rsid w:val="007E1642"/>
    <w:rsid w:val="007E704A"/>
    <w:rsid w:val="007E7914"/>
    <w:rsid w:val="007E7B4F"/>
    <w:rsid w:val="007F4364"/>
    <w:rsid w:val="007F4702"/>
    <w:rsid w:val="007F7241"/>
    <w:rsid w:val="00806986"/>
    <w:rsid w:val="008070D9"/>
    <w:rsid w:val="00807C32"/>
    <w:rsid w:val="00807F38"/>
    <w:rsid w:val="00810B09"/>
    <w:rsid w:val="00812480"/>
    <w:rsid w:val="00812EF5"/>
    <w:rsid w:val="0081352C"/>
    <w:rsid w:val="0081370F"/>
    <w:rsid w:val="00816688"/>
    <w:rsid w:val="00823409"/>
    <w:rsid w:val="00825522"/>
    <w:rsid w:val="00830656"/>
    <w:rsid w:val="00836237"/>
    <w:rsid w:val="00837B81"/>
    <w:rsid w:val="00841221"/>
    <w:rsid w:val="00845CF9"/>
    <w:rsid w:val="00846327"/>
    <w:rsid w:val="008475B7"/>
    <w:rsid w:val="008535A3"/>
    <w:rsid w:val="00853782"/>
    <w:rsid w:val="00853A7C"/>
    <w:rsid w:val="008540D2"/>
    <w:rsid w:val="00861344"/>
    <w:rsid w:val="00867415"/>
    <w:rsid w:val="0087063B"/>
    <w:rsid w:val="00871741"/>
    <w:rsid w:val="008721F6"/>
    <w:rsid w:val="00872C2B"/>
    <w:rsid w:val="008749E3"/>
    <w:rsid w:val="00874B0A"/>
    <w:rsid w:val="008779A7"/>
    <w:rsid w:val="00877D1F"/>
    <w:rsid w:val="00882796"/>
    <w:rsid w:val="008837B2"/>
    <w:rsid w:val="00883CD4"/>
    <w:rsid w:val="00886A85"/>
    <w:rsid w:val="008923CD"/>
    <w:rsid w:val="008930B1"/>
    <w:rsid w:val="00893B4A"/>
    <w:rsid w:val="008A0311"/>
    <w:rsid w:val="008A4717"/>
    <w:rsid w:val="008A489D"/>
    <w:rsid w:val="008A5BCB"/>
    <w:rsid w:val="008A60B6"/>
    <w:rsid w:val="008A6986"/>
    <w:rsid w:val="008A731B"/>
    <w:rsid w:val="008A78D6"/>
    <w:rsid w:val="008B2180"/>
    <w:rsid w:val="008B51F6"/>
    <w:rsid w:val="008B66CB"/>
    <w:rsid w:val="008B6948"/>
    <w:rsid w:val="008B76BC"/>
    <w:rsid w:val="008C2C4E"/>
    <w:rsid w:val="008C3700"/>
    <w:rsid w:val="008C40B1"/>
    <w:rsid w:val="008C4244"/>
    <w:rsid w:val="008C5ADB"/>
    <w:rsid w:val="008C6F7D"/>
    <w:rsid w:val="008C722E"/>
    <w:rsid w:val="008D0C64"/>
    <w:rsid w:val="008D30A6"/>
    <w:rsid w:val="008E18D2"/>
    <w:rsid w:val="008E413F"/>
    <w:rsid w:val="008E5044"/>
    <w:rsid w:val="008E5A30"/>
    <w:rsid w:val="008F6AF1"/>
    <w:rsid w:val="009032E7"/>
    <w:rsid w:val="0090563E"/>
    <w:rsid w:val="00905E17"/>
    <w:rsid w:val="0091670D"/>
    <w:rsid w:val="00922549"/>
    <w:rsid w:val="009240A0"/>
    <w:rsid w:val="0093090D"/>
    <w:rsid w:val="00930932"/>
    <w:rsid w:val="00930D80"/>
    <w:rsid w:val="00933EE9"/>
    <w:rsid w:val="009370CD"/>
    <w:rsid w:val="009377C2"/>
    <w:rsid w:val="00940ADB"/>
    <w:rsid w:val="0094130B"/>
    <w:rsid w:val="00945691"/>
    <w:rsid w:val="00947048"/>
    <w:rsid w:val="0095000B"/>
    <w:rsid w:val="00950F95"/>
    <w:rsid w:val="009512AB"/>
    <w:rsid w:val="00955E85"/>
    <w:rsid w:val="00957060"/>
    <w:rsid w:val="00957177"/>
    <w:rsid w:val="009607EE"/>
    <w:rsid w:val="0096097D"/>
    <w:rsid w:val="00960BA7"/>
    <w:rsid w:val="00963AFE"/>
    <w:rsid w:val="00964A47"/>
    <w:rsid w:val="00965393"/>
    <w:rsid w:val="009669D0"/>
    <w:rsid w:val="0097029F"/>
    <w:rsid w:val="00970BE0"/>
    <w:rsid w:val="009720A0"/>
    <w:rsid w:val="00975300"/>
    <w:rsid w:val="00975581"/>
    <w:rsid w:val="00984124"/>
    <w:rsid w:val="00984A18"/>
    <w:rsid w:val="00990F74"/>
    <w:rsid w:val="00992CBB"/>
    <w:rsid w:val="00994075"/>
    <w:rsid w:val="00997EB8"/>
    <w:rsid w:val="009A0068"/>
    <w:rsid w:val="009A0922"/>
    <w:rsid w:val="009A25B3"/>
    <w:rsid w:val="009A38EA"/>
    <w:rsid w:val="009A3CC8"/>
    <w:rsid w:val="009A6177"/>
    <w:rsid w:val="009A7D84"/>
    <w:rsid w:val="009B1448"/>
    <w:rsid w:val="009B1819"/>
    <w:rsid w:val="009B61B5"/>
    <w:rsid w:val="009B7B2E"/>
    <w:rsid w:val="009C2930"/>
    <w:rsid w:val="009C2ADD"/>
    <w:rsid w:val="009C3338"/>
    <w:rsid w:val="009C57FA"/>
    <w:rsid w:val="009D30BF"/>
    <w:rsid w:val="009D3548"/>
    <w:rsid w:val="009D3CD3"/>
    <w:rsid w:val="009D46D8"/>
    <w:rsid w:val="009D563D"/>
    <w:rsid w:val="009D5BCE"/>
    <w:rsid w:val="009D7F75"/>
    <w:rsid w:val="009E7D7D"/>
    <w:rsid w:val="009F097C"/>
    <w:rsid w:val="009F21A4"/>
    <w:rsid w:val="009F2778"/>
    <w:rsid w:val="00A01333"/>
    <w:rsid w:val="00A03B9C"/>
    <w:rsid w:val="00A051DF"/>
    <w:rsid w:val="00A05AFE"/>
    <w:rsid w:val="00A143CE"/>
    <w:rsid w:val="00A17086"/>
    <w:rsid w:val="00A21C6F"/>
    <w:rsid w:val="00A226EE"/>
    <w:rsid w:val="00A244E9"/>
    <w:rsid w:val="00A24B94"/>
    <w:rsid w:val="00A2649F"/>
    <w:rsid w:val="00A3049B"/>
    <w:rsid w:val="00A35AB5"/>
    <w:rsid w:val="00A35B0F"/>
    <w:rsid w:val="00A36BD8"/>
    <w:rsid w:val="00A41333"/>
    <w:rsid w:val="00A42412"/>
    <w:rsid w:val="00A467CE"/>
    <w:rsid w:val="00A46D90"/>
    <w:rsid w:val="00A52285"/>
    <w:rsid w:val="00A525BA"/>
    <w:rsid w:val="00A535C9"/>
    <w:rsid w:val="00A677E4"/>
    <w:rsid w:val="00A711B6"/>
    <w:rsid w:val="00A71F5C"/>
    <w:rsid w:val="00A76235"/>
    <w:rsid w:val="00A76DFD"/>
    <w:rsid w:val="00A812F0"/>
    <w:rsid w:val="00A826C0"/>
    <w:rsid w:val="00A83600"/>
    <w:rsid w:val="00A852D9"/>
    <w:rsid w:val="00A86B74"/>
    <w:rsid w:val="00A939B4"/>
    <w:rsid w:val="00A94C27"/>
    <w:rsid w:val="00A96E9D"/>
    <w:rsid w:val="00A97EC8"/>
    <w:rsid w:val="00AA3616"/>
    <w:rsid w:val="00AA52D8"/>
    <w:rsid w:val="00AA5606"/>
    <w:rsid w:val="00AA6800"/>
    <w:rsid w:val="00AB06E3"/>
    <w:rsid w:val="00AB5EDF"/>
    <w:rsid w:val="00AB5F1F"/>
    <w:rsid w:val="00AB7EAE"/>
    <w:rsid w:val="00AC0416"/>
    <w:rsid w:val="00AC37B0"/>
    <w:rsid w:val="00AC3FDD"/>
    <w:rsid w:val="00AC49B9"/>
    <w:rsid w:val="00AC6709"/>
    <w:rsid w:val="00AC7286"/>
    <w:rsid w:val="00AC772F"/>
    <w:rsid w:val="00AC78DF"/>
    <w:rsid w:val="00AD058F"/>
    <w:rsid w:val="00AD0AB9"/>
    <w:rsid w:val="00AD523E"/>
    <w:rsid w:val="00AD66C4"/>
    <w:rsid w:val="00AE0E14"/>
    <w:rsid w:val="00AE3B3A"/>
    <w:rsid w:val="00AE5291"/>
    <w:rsid w:val="00AE669A"/>
    <w:rsid w:val="00AF02C6"/>
    <w:rsid w:val="00AF062C"/>
    <w:rsid w:val="00AF1C85"/>
    <w:rsid w:val="00AF1F2E"/>
    <w:rsid w:val="00AF3ADE"/>
    <w:rsid w:val="00AF4B37"/>
    <w:rsid w:val="00AF4F25"/>
    <w:rsid w:val="00AF6792"/>
    <w:rsid w:val="00AF680C"/>
    <w:rsid w:val="00AF7EF8"/>
    <w:rsid w:val="00B027B6"/>
    <w:rsid w:val="00B0797A"/>
    <w:rsid w:val="00B12B1C"/>
    <w:rsid w:val="00B13E3F"/>
    <w:rsid w:val="00B21136"/>
    <w:rsid w:val="00B22846"/>
    <w:rsid w:val="00B27346"/>
    <w:rsid w:val="00B32416"/>
    <w:rsid w:val="00B36B3C"/>
    <w:rsid w:val="00B373DE"/>
    <w:rsid w:val="00B4195D"/>
    <w:rsid w:val="00B42BE6"/>
    <w:rsid w:val="00B45619"/>
    <w:rsid w:val="00B5454D"/>
    <w:rsid w:val="00B55D96"/>
    <w:rsid w:val="00B609A8"/>
    <w:rsid w:val="00B65BD7"/>
    <w:rsid w:val="00B66222"/>
    <w:rsid w:val="00B72EEA"/>
    <w:rsid w:val="00B74818"/>
    <w:rsid w:val="00B76629"/>
    <w:rsid w:val="00B83875"/>
    <w:rsid w:val="00B84095"/>
    <w:rsid w:val="00B857BF"/>
    <w:rsid w:val="00B91088"/>
    <w:rsid w:val="00B91278"/>
    <w:rsid w:val="00B916A3"/>
    <w:rsid w:val="00B93A1E"/>
    <w:rsid w:val="00B93A8B"/>
    <w:rsid w:val="00B95C5D"/>
    <w:rsid w:val="00B97FDD"/>
    <w:rsid w:val="00BA00E6"/>
    <w:rsid w:val="00BA16EB"/>
    <w:rsid w:val="00BB0D2A"/>
    <w:rsid w:val="00BB1069"/>
    <w:rsid w:val="00BB1201"/>
    <w:rsid w:val="00BB5807"/>
    <w:rsid w:val="00BB68F7"/>
    <w:rsid w:val="00BC1E13"/>
    <w:rsid w:val="00BC1E90"/>
    <w:rsid w:val="00BC37CD"/>
    <w:rsid w:val="00BC3BFD"/>
    <w:rsid w:val="00BD1C67"/>
    <w:rsid w:val="00BD2161"/>
    <w:rsid w:val="00BD6353"/>
    <w:rsid w:val="00BE0F97"/>
    <w:rsid w:val="00BE129A"/>
    <w:rsid w:val="00BE44E2"/>
    <w:rsid w:val="00BE5107"/>
    <w:rsid w:val="00BF1286"/>
    <w:rsid w:val="00BF1C31"/>
    <w:rsid w:val="00BF4A66"/>
    <w:rsid w:val="00BF61ED"/>
    <w:rsid w:val="00C05401"/>
    <w:rsid w:val="00C074B3"/>
    <w:rsid w:val="00C12497"/>
    <w:rsid w:val="00C12D2F"/>
    <w:rsid w:val="00C13158"/>
    <w:rsid w:val="00C15EC1"/>
    <w:rsid w:val="00C20B57"/>
    <w:rsid w:val="00C21E2B"/>
    <w:rsid w:val="00C2276F"/>
    <w:rsid w:val="00C273EC"/>
    <w:rsid w:val="00C27AF9"/>
    <w:rsid w:val="00C27DB3"/>
    <w:rsid w:val="00C364D6"/>
    <w:rsid w:val="00C42909"/>
    <w:rsid w:val="00C432AA"/>
    <w:rsid w:val="00C44320"/>
    <w:rsid w:val="00C44DFA"/>
    <w:rsid w:val="00C470F7"/>
    <w:rsid w:val="00C53718"/>
    <w:rsid w:val="00C53D8F"/>
    <w:rsid w:val="00C54B87"/>
    <w:rsid w:val="00C57100"/>
    <w:rsid w:val="00C601CA"/>
    <w:rsid w:val="00C64A64"/>
    <w:rsid w:val="00C65E48"/>
    <w:rsid w:val="00C6757D"/>
    <w:rsid w:val="00C71304"/>
    <w:rsid w:val="00C725D5"/>
    <w:rsid w:val="00C72C14"/>
    <w:rsid w:val="00C7348F"/>
    <w:rsid w:val="00C752B4"/>
    <w:rsid w:val="00C80379"/>
    <w:rsid w:val="00C821D1"/>
    <w:rsid w:val="00C8228A"/>
    <w:rsid w:val="00C878F9"/>
    <w:rsid w:val="00C954BD"/>
    <w:rsid w:val="00C962F7"/>
    <w:rsid w:val="00C976DC"/>
    <w:rsid w:val="00C97EC2"/>
    <w:rsid w:val="00CA1D88"/>
    <w:rsid w:val="00CA419D"/>
    <w:rsid w:val="00CA4B39"/>
    <w:rsid w:val="00CA609E"/>
    <w:rsid w:val="00CA7363"/>
    <w:rsid w:val="00CB4096"/>
    <w:rsid w:val="00CB4AA4"/>
    <w:rsid w:val="00CC10E7"/>
    <w:rsid w:val="00CC3253"/>
    <w:rsid w:val="00CC5C4E"/>
    <w:rsid w:val="00CC5EEA"/>
    <w:rsid w:val="00CD0C64"/>
    <w:rsid w:val="00CD3373"/>
    <w:rsid w:val="00CD744F"/>
    <w:rsid w:val="00CE0F80"/>
    <w:rsid w:val="00CE1BF4"/>
    <w:rsid w:val="00CE278B"/>
    <w:rsid w:val="00CE3A44"/>
    <w:rsid w:val="00CE49E0"/>
    <w:rsid w:val="00CE7E5C"/>
    <w:rsid w:val="00CF01C3"/>
    <w:rsid w:val="00CF34AF"/>
    <w:rsid w:val="00CF4153"/>
    <w:rsid w:val="00CF7ED5"/>
    <w:rsid w:val="00D00052"/>
    <w:rsid w:val="00D00285"/>
    <w:rsid w:val="00D003C8"/>
    <w:rsid w:val="00D01FD4"/>
    <w:rsid w:val="00D02578"/>
    <w:rsid w:val="00D06C68"/>
    <w:rsid w:val="00D07E9F"/>
    <w:rsid w:val="00D15A30"/>
    <w:rsid w:val="00D15E1E"/>
    <w:rsid w:val="00D2003B"/>
    <w:rsid w:val="00D227BA"/>
    <w:rsid w:val="00D22C3F"/>
    <w:rsid w:val="00D24D81"/>
    <w:rsid w:val="00D26823"/>
    <w:rsid w:val="00D34473"/>
    <w:rsid w:val="00D4181B"/>
    <w:rsid w:val="00D4384B"/>
    <w:rsid w:val="00D44B4D"/>
    <w:rsid w:val="00D455D7"/>
    <w:rsid w:val="00D5342D"/>
    <w:rsid w:val="00D54A7C"/>
    <w:rsid w:val="00D56067"/>
    <w:rsid w:val="00D5673C"/>
    <w:rsid w:val="00D5683B"/>
    <w:rsid w:val="00D57241"/>
    <w:rsid w:val="00D7070F"/>
    <w:rsid w:val="00D722AF"/>
    <w:rsid w:val="00D72DC1"/>
    <w:rsid w:val="00D75156"/>
    <w:rsid w:val="00D7541A"/>
    <w:rsid w:val="00D772C9"/>
    <w:rsid w:val="00D82FA7"/>
    <w:rsid w:val="00D87D59"/>
    <w:rsid w:val="00D952E4"/>
    <w:rsid w:val="00D963FA"/>
    <w:rsid w:val="00D96B49"/>
    <w:rsid w:val="00DA0AB4"/>
    <w:rsid w:val="00DA4B9E"/>
    <w:rsid w:val="00DA539F"/>
    <w:rsid w:val="00DA6AD5"/>
    <w:rsid w:val="00DB18EE"/>
    <w:rsid w:val="00DB4478"/>
    <w:rsid w:val="00DB5D8A"/>
    <w:rsid w:val="00DB6AB6"/>
    <w:rsid w:val="00DC208D"/>
    <w:rsid w:val="00DC4BC8"/>
    <w:rsid w:val="00DC513C"/>
    <w:rsid w:val="00DC6FD2"/>
    <w:rsid w:val="00DD300F"/>
    <w:rsid w:val="00DE060B"/>
    <w:rsid w:val="00DE58D2"/>
    <w:rsid w:val="00DF111B"/>
    <w:rsid w:val="00DF12F6"/>
    <w:rsid w:val="00DF2699"/>
    <w:rsid w:val="00DF2FEF"/>
    <w:rsid w:val="00DF6E4F"/>
    <w:rsid w:val="00E034E9"/>
    <w:rsid w:val="00E10E60"/>
    <w:rsid w:val="00E161A5"/>
    <w:rsid w:val="00E17A16"/>
    <w:rsid w:val="00E17B00"/>
    <w:rsid w:val="00E17DAD"/>
    <w:rsid w:val="00E2079C"/>
    <w:rsid w:val="00E21833"/>
    <w:rsid w:val="00E24188"/>
    <w:rsid w:val="00E25E8A"/>
    <w:rsid w:val="00E32B4D"/>
    <w:rsid w:val="00E4278E"/>
    <w:rsid w:val="00E43514"/>
    <w:rsid w:val="00E46674"/>
    <w:rsid w:val="00E47D0F"/>
    <w:rsid w:val="00E50A77"/>
    <w:rsid w:val="00E50D99"/>
    <w:rsid w:val="00E52C02"/>
    <w:rsid w:val="00E52F5B"/>
    <w:rsid w:val="00E56D6B"/>
    <w:rsid w:val="00E601A6"/>
    <w:rsid w:val="00E6352A"/>
    <w:rsid w:val="00E65B95"/>
    <w:rsid w:val="00E70A86"/>
    <w:rsid w:val="00E718E0"/>
    <w:rsid w:val="00E71D8B"/>
    <w:rsid w:val="00E71EFB"/>
    <w:rsid w:val="00E75E19"/>
    <w:rsid w:val="00E808F6"/>
    <w:rsid w:val="00E80A62"/>
    <w:rsid w:val="00E82A49"/>
    <w:rsid w:val="00E846F4"/>
    <w:rsid w:val="00E84AC7"/>
    <w:rsid w:val="00E84C99"/>
    <w:rsid w:val="00E8794D"/>
    <w:rsid w:val="00E90392"/>
    <w:rsid w:val="00E90D30"/>
    <w:rsid w:val="00E92691"/>
    <w:rsid w:val="00E93C30"/>
    <w:rsid w:val="00E95D81"/>
    <w:rsid w:val="00EA419D"/>
    <w:rsid w:val="00EA435D"/>
    <w:rsid w:val="00EA493D"/>
    <w:rsid w:val="00EA4E56"/>
    <w:rsid w:val="00EB281E"/>
    <w:rsid w:val="00EB3B6A"/>
    <w:rsid w:val="00EC29CD"/>
    <w:rsid w:val="00ED029F"/>
    <w:rsid w:val="00ED4659"/>
    <w:rsid w:val="00ED526A"/>
    <w:rsid w:val="00ED66FB"/>
    <w:rsid w:val="00ED6B8D"/>
    <w:rsid w:val="00EE0CE2"/>
    <w:rsid w:val="00EE209F"/>
    <w:rsid w:val="00EE2EEC"/>
    <w:rsid w:val="00EE30CB"/>
    <w:rsid w:val="00EE3F51"/>
    <w:rsid w:val="00EE4888"/>
    <w:rsid w:val="00EF012E"/>
    <w:rsid w:val="00EF3312"/>
    <w:rsid w:val="00EF6A60"/>
    <w:rsid w:val="00F0170C"/>
    <w:rsid w:val="00F11974"/>
    <w:rsid w:val="00F14937"/>
    <w:rsid w:val="00F14CAD"/>
    <w:rsid w:val="00F16AA6"/>
    <w:rsid w:val="00F245D0"/>
    <w:rsid w:val="00F27488"/>
    <w:rsid w:val="00F308B5"/>
    <w:rsid w:val="00F33086"/>
    <w:rsid w:val="00F34627"/>
    <w:rsid w:val="00F37BFA"/>
    <w:rsid w:val="00F479B3"/>
    <w:rsid w:val="00F5301D"/>
    <w:rsid w:val="00F6252D"/>
    <w:rsid w:val="00F636CB"/>
    <w:rsid w:val="00F67610"/>
    <w:rsid w:val="00F700D2"/>
    <w:rsid w:val="00F74966"/>
    <w:rsid w:val="00F7509A"/>
    <w:rsid w:val="00F768EA"/>
    <w:rsid w:val="00F82BC0"/>
    <w:rsid w:val="00F835B4"/>
    <w:rsid w:val="00F84019"/>
    <w:rsid w:val="00F93F69"/>
    <w:rsid w:val="00F95EE4"/>
    <w:rsid w:val="00F96D8F"/>
    <w:rsid w:val="00F97447"/>
    <w:rsid w:val="00FA0B78"/>
    <w:rsid w:val="00FA0D78"/>
    <w:rsid w:val="00FA0F9B"/>
    <w:rsid w:val="00FA33EA"/>
    <w:rsid w:val="00FA41D0"/>
    <w:rsid w:val="00FA5FE0"/>
    <w:rsid w:val="00FA7F50"/>
    <w:rsid w:val="00FB1513"/>
    <w:rsid w:val="00FB19CB"/>
    <w:rsid w:val="00FB5029"/>
    <w:rsid w:val="00FC18E0"/>
    <w:rsid w:val="00FC2789"/>
    <w:rsid w:val="00FC2DAE"/>
    <w:rsid w:val="00FC6002"/>
    <w:rsid w:val="00FC7A07"/>
    <w:rsid w:val="00FE1766"/>
    <w:rsid w:val="00FE2232"/>
    <w:rsid w:val="00FE2F73"/>
    <w:rsid w:val="00FE477F"/>
    <w:rsid w:val="00FE5781"/>
    <w:rsid w:val="00FE5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B24F05"/>
  <w15:chartTrackingRefBased/>
  <w15:docId w15:val="{D713DA87-FD98-4BE5-AF98-8625DB209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2"/>
      <w:lang w:eastAsia="en-US"/>
    </w:rPr>
  </w:style>
  <w:style w:type="paragraph" w:styleId="Heading4">
    <w:name w:val="heading 4"/>
    <w:basedOn w:val="Normal"/>
    <w:next w:val="Normal"/>
    <w:link w:val="Heading4Char"/>
    <w:qFormat/>
    <w:rsid w:val="00BF1C31"/>
    <w:pPr>
      <w:keepNext/>
      <w:widowControl w:val="0"/>
      <w:autoSpaceDE w:val="0"/>
      <w:autoSpaceDN w:val="0"/>
      <w:adjustRightInd w:val="0"/>
      <w:jc w:val="center"/>
      <w:outlineLvl w:val="3"/>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27078"/>
    <w:pPr>
      <w:tabs>
        <w:tab w:val="center" w:pos="4320"/>
        <w:tab w:val="right" w:pos="8640"/>
      </w:tabs>
    </w:pPr>
  </w:style>
  <w:style w:type="paragraph" w:styleId="Footer">
    <w:name w:val="footer"/>
    <w:basedOn w:val="Normal"/>
    <w:rsid w:val="00027078"/>
    <w:pPr>
      <w:tabs>
        <w:tab w:val="center" w:pos="4320"/>
        <w:tab w:val="right" w:pos="8640"/>
      </w:tabs>
    </w:pPr>
  </w:style>
  <w:style w:type="paragraph" w:styleId="BodyText">
    <w:name w:val="Body Text"/>
    <w:basedOn w:val="Normal"/>
    <w:link w:val="BodyTextChar"/>
    <w:rsid w:val="00027078"/>
    <w:pPr>
      <w:jc w:val="both"/>
    </w:pPr>
    <w:rPr>
      <w:rFonts w:cs="Times New Roman"/>
      <w:sz w:val="24"/>
      <w:szCs w:val="20"/>
    </w:rPr>
  </w:style>
  <w:style w:type="paragraph" w:customStyle="1" w:styleId="DefaultText">
    <w:name w:val="Default Text"/>
    <w:basedOn w:val="Normal"/>
    <w:rsid w:val="00027078"/>
    <w:pPr>
      <w:overflowPunct w:val="0"/>
      <w:autoSpaceDE w:val="0"/>
      <w:autoSpaceDN w:val="0"/>
      <w:adjustRightInd w:val="0"/>
      <w:textAlignment w:val="baseline"/>
    </w:pPr>
    <w:rPr>
      <w:rFonts w:ascii="Times New Roman" w:hAnsi="Times New Roman" w:cs="Times New Roman"/>
      <w:sz w:val="24"/>
      <w:szCs w:val="20"/>
    </w:rPr>
  </w:style>
  <w:style w:type="character" w:customStyle="1" w:styleId="Heading4Char">
    <w:name w:val="Heading 4 Char"/>
    <w:basedOn w:val="DefaultParagraphFont"/>
    <w:link w:val="Heading4"/>
    <w:rsid w:val="006D00FA"/>
    <w:rPr>
      <w:rFonts w:ascii="Arial" w:hAnsi="Arial" w:cs="Arial"/>
      <w:b/>
      <w:bCs/>
      <w:sz w:val="24"/>
      <w:szCs w:val="24"/>
      <w:lang w:val="en-US" w:eastAsia="en-US"/>
    </w:rPr>
  </w:style>
  <w:style w:type="character" w:customStyle="1" w:styleId="HeaderChar">
    <w:name w:val="Header Char"/>
    <w:basedOn w:val="DefaultParagraphFont"/>
    <w:link w:val="Header"/>
    <w:rsid w:val="006D00FA"/>
    <w:rPr>
      <w:rFonts w:ascii="Arial" w:hAnsi="Arial" w:cs="Arial"/>
      <w:sz w:val="22"/>
      <w:szCs w:val="22"/>
      <w:lang w:eastAsia="en-US"/>
    </w:rPr>
  </w:style>
  <w:style w:type="character" w:customStyle="1" w:styleId="BodyTextChar">
    <w:name w:val="Body Text Char"/>
    <w:basedOn w:val="DefaultParagraphFont"/>
    <w:link w:val="BodyText"/>
    <w:rsid w:val="006D00FA"/>
    <w:rPr>
      <w:rFonts w:ascii="Arial" w:hAnsi="Arial"/>
      <w:sz w:val="24"/>
      <w:lang w:eastAsia="en-US"/>
    </w:rPr>
  </w:style>
  <w:style w:type="paragraph" w:styleId="ListParagraph">
    <w:name w:val="List Paragraph"/>
    <w:basedOn w:val="Normal"/>
    <w:uiPriority w:val="34"/>
    <w:qFormat/>
    <w:rsid w:val="00E034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043045">
      <w:bodyDiv w:val="1"/>
      <w:marLeft w:val="0"/>
      <w:marRight w:val="0"/>
      <w:marTop w:val="0"/>
      <w:marBottom w:val="0"/>
      <w:divBdr>
        <w:top w:val="none" w:sz="0" w:space="0" w:color="auto"/>
        <w:left w:val="none" w:sz="0" w:space="0" w:color="auto"/>
        <w:bottom w:val="none" w:sz="0" w:space="0" w:color="auto"/>
        <w:right w:val="none" w:sz="0" w:space="0" w:color="auto"/>
      </w:divBdr>
    </w:div>
    <w:div w:id="206467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1975</Words>
  <Characters>11262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neil@v2tltd.co.uk</cp:lastModifiedBy>
  <cp:revision>4</cp:revision>
  <cp:lastPrinted>2012-11-07T11:30:00Z</cp:lastPrinted>
  <dcterms:created xsi:type="dcterms:W3CDTF">2020-02-11T13:51:00Z</dcterms:created>
  <dcterms:modified xsi:type="dcterms:W3CDTF">2020-02-11T14:08:00Z</dcterms:modified>
</cp:coreProperties>
</file>